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en-US"/>
        </w:rPr>
        <w:id w:val="-1309783426"/>
        <w:docPartObj>
          <w:docPartGallery w:val="Cover Pages"/>
          <w:docPartUnique/>
        </w:docPartObj>
      </w:sdtPr>
      <w:sdtEndPr>
        <w:rPr>
          <w:rFonts w:asciiTheme="minorHAnsi" w:eastAsiaTheme="minorHAnsi" w:hAnsiTheme="minorHAnsi" w:cstheme="minorBidi"/>
          <w:b/>
          <w:sz w:val="26"/>
          <w:szCs w:val="26"/>
        </w:rPr>
      </w:sdtEndPr>
      <w:sdtContent>
        <w:p w:rsidR="00D91D3E" w:rsidRPr="00CE4C4B" w:rsidRDefault="00085854">
          <w:pPr>
            <w:pStyle w:val="AralkYok"/>
            <w:rPr>
              <w:rFonts w:asciiTheme="majorHAnsi" w:eastAsiaTheme="majorEastAsia" w:hAnsiTheme="majorHAnsi" w:cstheme="majorBidi"/>
              <w:sz w:val="72"/>
              <w:szCs w:val="72"/>
            </w:rPr>
          </w:pPr>
          <w:r w:rsidRPr="00085854">
            <w:rPr>
              <w:noProof/>
            </w:rPr>
            <w:pict>
              <v:rect id="Dikdörtgen 2" o:spid="_x0000_s1026" style="position:absolute;margin-left:0;margin-top:0;width:642.6pt;height:64.4pt;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4bacc6 [3208]" strokecolor="#4f81bd [3204]">
                <w10:wrap anchorx="page" anchory="page"/>
              </v:rect>
            </w:pict>
          </w:r>
          <w:r w:rsidRPr="00085854">
            <w:rPr>
              <w:noProof/>
            </w:rPr>
            <w:pict>
              <v:rect id="Dikdörtgen 5" o:spid="_x0000_s1029" style="position:absolute;margin-left:0;margin-top:0;width:7.15pt;height:831.2pt;z-index:2516623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w:r>
          <w:r w:rsidRPr="00085854">
            <w:rPr>
              <w:noProof/>
            </w:rPr>
            <w:pict>
              <v:rect id="Dikdörtgen 4" o:spid="_x0000_s1028" style="position:absolute;margin-left:0;margin-top:0;width:7.15pt;height:831.2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4f81bd [3204]">
                <w10:wrap anchorx="margin" anchory="page"/>
              </v:rect>
            </w:pict>
          </w:r>
          <w:r w:rsidRPr="00085854">
            <w:rPr>
              <w:noProof/>
            </w:rPr>
            <w:pict>
              <v:rect id="Dikdörtgen 3" o:spid="_x0000_s1027" style="position:absolute;margin-left:0;margin-top:0;width:642.6pt;height:64.8pt;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B4p5F4LQIAAEUEAAAOAAAAAAAAAAAAAAAAAC4CAABkcnMv&#10;ZTJvRG9jLnhtbFBLAQItABQABgAIAAAAIQAH/mfP3AAAAAYBAAAPAAAAAAAAAAAAAAAAAIcEAABk&#10;cnMvZG93bnJldi54bWxQSwUGAAAAAAQABADzAAAAkAUAAAAA&#10;" o:allowincell="f" fillcolor="#4bacc6 [3208]" strokecolor="#4f81bd [3204]">
                <w10:wrap anchorx="page" anchory="margin"/>
              </v:rect>
            </w:pict>
          </w:r>
        </w:p>
        <w:sdt>
          <w:sdtPr>
            <w:rPr>
              <w:rFonts w:asciiTheme="majorHAnsi" w:eastAsiaTheme="majorEastAsia" w:hAnsiTheme="majorHAnsi" w:cstheme="majorBidi"/>
              <w:color w:val="FF0000"/>
              <w:sz w:val="72"/>
              <w:szCs w:val="72"/>
            </w:rPr>
            <w:alias w:val="Başlık"/>
            <w:id w:val="14700071"/>
            <w:dataBinding w:prefixMappings="xmlns:ns0='http://schemas.openxmlformats.org/package/2006/metadata/core-properties' xmlns:ns1='http://purl.org/dc/elements/1.1/'" w:xpath="/ns0:coreProperties[1]/ns1:title[1]" w:storeItemID="{6C3C8BC8-F283-45AE-878A-BAB7291924A1}"/>
            <w:text/>
          </w:sdtPr>
          <w:sdtContent>
            <w:p w:rsidR="00D91D3E" w:rsidRPr="003A7CD5" w:rsidRDefault="00A219A6">
              <w:pPr>
                <w:pStyle w:val="AralkYok"/>
                <w:rPr>
                  <w:rFonts w:asciiTheme="majorHAnsi" w:eastAsiaTheme="majorEastAsia" w:hAnsiTheme="majorHAnsi" w:cstheme="majorBidi"/>
                  <w:color w:val="FF0000"/>
                  <w:sz w:val="72"/>
                  <w:szCs w:val="72"/>
                </w:rPr>
              </w:pPr>
              <w:r>
                <w:rPr>
                  <w:rFonts w:asciiTheme="majorHAnsi" w:eastAsiaTheme="majorEastAsia" w:hAnsiTheme="majorHAnsi" w:cstheme="majorBidi"/>
                  <w:color w:val="FF0000"/>
                  <w:sz w:val="72"/>
                  <w:szCs w:val="72"/>
                </w:rPr>
                <w:t>İşçi Sağlığı ve İş Güvenliği Raporu</w:t>
              </w:r>
            </w:p>
          </w:sdtContent>
        </w:sdt>
        <w:p w:rsidR="003616A0" w:rsidRDefault="003616A0">
          <w:pPr>
            <w:pStyle w:val="AralkYok"/>
            <w:rPr>
              <w:rFonts w:asciiTheme="majorHAnsi" w:eastAsiaTheme="majorEastAsia" w:hAnsiTheme="majorHAnsi" w:cstheme="majorBidi"/>
              <w:sz w:val="32"/>
              <w:szCs w:val="32"/>
            </w:rPr>
          </w:pPr>
        </w:p>
        <w:p w:rsidR="00A33065" w:rsidRPr="00A33065" w:rsidRDefault="00A33065">
          <w:pPr>
            <w:pStyle w:val="AralkYok"/>
            <w:rPr>
              <w:rFonts w:asciiTheme="majorHAnsi" w:eastAsiaTheme="majorEastAsia" w:hAnsiTheme="majorHAnsi" w:cstheme="majorBidi"/>
              <w:color w:val="FF0000"/>
              <w:sz w:val="32"/>
              <w:szCs w:val="32"/>
            </w:rPr>
          </w:pPr>
          <w:r w:rsidRPr="00A33065">
            <w:rPr>
              <w:rFonts w:asciiTheme="majorHAnsi" w:eastAsiaTheme="majorEastAsia" w:hAnsiTheme="majorHAnsi" w:cstheme="majorBidi"/>
              <w:color w:val="FF0000"/>
              <w:sz w:val="32"/>
              <w:szCs w:val="32"/>
            </w:rPr>
            <w:t>Gözden Geçirilmiş Rapor – Ocak 2019</w:t>
          </w:r>
        </w:p>
        <w:p w:rsidR="00D91D3E" w:rsidRDefault="00D91D3E">
          <w:pPr>
            <w:pStyle w:val="AralkYok"/>
            <w:rPr>
              <w:rFonts w:asciiTheme="majorHAnsi" w:eastAsiaTheme="majorEastAsia" w:hAnsiTheme="majorHAnsi" w:cstheme="majorBidi"/>
              <w:sz w:val="36"/>
              <w:szCs w:val="36"/>
            </w:rPr>
          </w:pPr>
        </w:p>
        <w:p w:rsidR="003616A0" w:rsidRPr="00CE4C4B" w:rsidRDefault="003616A0">
          <w:pPr>
            <w:pStyle w:val="AralkYok"/>
            <w:rPr>
              <w:rFonts w:asciiTheme="majorHAnsi" w:eastAsiaTheme="majorEastAsia" w:hAnsiTheme="majorHAnsi" w:cstheme="majorBidi"/>
              <w:sz w:val="36"/>
              <w:szCs w:val="36"/>
            </w:rPr>
          </w:pPr>
        </w:p>
        <w:p w:rsidR="00D91D3E" w:rsidRPr="003616A0" w:rsidRDefault="003616A0">
          <w:pPr>
            <w:pStyle w:val="AralkYok"/>
            <w:rPr>
              <w:sz w:val="36"/>
              <w:szCs w:val="36"/>
            </w:rPr>
          </w:pPr>
          <w:r w:rsidRPr="003616A0">
            <w:rPr>
              <w:sz w:val="36"/>
              <w:szCs w:val="36"/>
            </w:rPr>
            <w:t>Sosyal Haklar Derneği</w:t>
          </w:r>
        </w:p>
        <w:p w:rsidR="00D91D3E" w:rsidRPr="00CE4C4B" w:rsidRDefault="00D91D3E">
          <w:pPr>
            <w:pStyle w:val="AralkYok"/>
          </w:pPr>
        </w:p>
        <w:sdt>
          <w:sdtPr>
            <w:rPr>
              <w:sz w:val="32"/>
              <w:szCs w:val="32"/>
            </w:rPr>
            <w:alias w:val="Şirket"/>
            <w:id w:val="-1912842903"/>
            <w:dataBinding w:prefixMappings="xmlns:ns0='http://schemas.openxmlformats.org/officeDocument/2006/extended-properties'" w:xpath="/ns0:Properties[1]/ns0:Company[1]" w:storeItemID="{6668398D-A668-4E3E-A5EB-62B293D839F1}"/>
            <w:text/>
          </w:sdtPr>
          <w:sdtContent>
            <w:p w:rsidR="003616A0" w:rsidRPr="00CE4C4B" w:rsidRDefault="00A219A6" w:rsidP="003616A0">
              <w:pPr>
                <w:pStyle w:val="AralkYok"/>
                <w:rPr>
                  <w:sz w:val="32"/>
                  <w:szCs w:val="32"/>
                </w:rPr>
              </w:pPr>
              <w:r>
                <w:rPr>
                  <w:sz w:val="32"/>
                  <w:szCs w:val="32"/>
                </w:rPr>
                <w:t>Emekçi Hakları Çalışma Grubu</w:t>
              </w:r>
            </w:p>
          </w:sdtContent>
        </w:sdt>
        <w:p w:rsidR="00D91D3E" w:rsidRPr="00CE4C4B" w:rsidRDefault="00D91D3E"/>
        <w:p w:rsidR="00D91D3E" w:rsidRPr="00CE4C4B" w:rsidRDefault="00D91D3E">
          <w:pPr>
            <w:rPr>
              <w:b/>
              <w:sz w:val="26"/>
              <w:szCs w:val="26"/>
            </w:rPr>
          </w:pPr>
          <w:r w:rsidRPr="00CE4C4B">
            <w:rPr>
              <w:b/>
              <w:sz w:val="26"/>
              <w:szCs w:val="26"/>
            </w:rPr>
            <w:br w:type="page"/>
          </w:r>
        </w:p>
      </w:sdtContent>
    </w:sdt>
    <w:p w:rsidR="00AC71A6" w:rsidRPr="00CE4C4B" w:rsidRDefault="00EF6EBA" w:rsidP="00D65C41">
      <w:pPr>
        <w:jc w:val="center"/>
        <w:rPr>
          <w:b/>
          <w:sz w:val="26"/>
          <w:szCs w:val="26"/>
        </w:rPr>
      </w:pPr>
      <w:r>
        <w:rPr>
          <w:b/>
          <w:sz w:val="26"/>
          <w:szCs w:val="26"/>
        </w:rPr>
        <w:lastRenderedPageBreak/>
        <w:t xml:space="preserve">SHD </w:t>
      </w:r>
      <w:r w:rsidR="005C265F" w:rsidRPr="00CE4C4B">
        <w:rPr>
          <w:b/>
          <w:sz w:val="26"/>
          <w:szCs w:val="26"/>
        </w:rPr>
        <w:t>İşç</w:t>
      </w:r>
      <w:r w:rsidR="00D91D3E" w:rsidRPr="00CE4C4B">
        <w:rPr>
          <w:b/>
          <w:sz w:val="26"/>
          <w:szCs w:val="26"/>
        </w:rPr>
        <w:t>i Sağlığı ve İş Güvenliği Rapor</w:t>
      </w:r>
      <w:r w:rsidR="004667B8">
        <w:rPr>
          <w:b/>
          <w:sz w:val="26"/>
          <w:szCs w:val="26"/>
        </w:rPr>
        <w:t>u 2018</w:t>
      </w:r>
    </w:p>
    <w:sdt>
      <w:sdtPr>
        <w:rPr>
          <w:rFonts w:asciiTheme="minorHAnsi" w:eastAsiaTheme="minorHAnsi" w:hAnsiTheme="minorHAnsi" w:cstheme="minorBidi"/>
          <w:b w:val="0"/>
          <w:bCs w:val="0"/>
          <w:color w:val="auto"/>
          <w:sz w:val="22"/>
          <w:szCs w:val="22"/>
          <w:lang w:eastAsia="en-US"/>
        </w:rPr>
        <w:id w:val="1190102806"/>
        <w:docPartObj>
          <w:docPartGallery w:val="Table of Contents"/>
          <w:docPartUnique/>
        </w:docPartObj>
      </w:sdtPr>
      <w:sdtContent>
        <w:p w:rsidR="00D65C41" w:rsidRPr="00CE4C4B" w:rsidRDefault="00D65C41" w:rsidP="00D65C41">
          <w:pPr>
            <w:pStyle w:val="TBal"/>
            <w:spacing w:before="240"/>
            <w:rPr>
              <w:color w:val="auto"/>
              <w:sz w:val="26"/>
              <w:szCs w:val="26"/>
            </w:rPr>
          </w:pPr>
          <w:r w:rsidRPr="00CE4C4B">
            <w:rPr>
              <w:color w:val="auto"/>
              <w:sz w:val="26"/>
              <w:szCs w:val="26"/>
            </w:rPr>
            <w:t>İçindekiler</w:t>
          </w:r>
        </w:p>
        <w:p w:rsidR="007B7069" w:rsidRDefault="00085854">
          <w:pPr>
            <w:pStyle w:val="T2"/>
            <w:tabs>
              <w:tab w:val="right" w:leader="dot" w:pos="9346"/>
            </w:tabs>
            <w:rPr>
              <w:rFonts w:eastAsiaTheme="minorEastAsia"/>
              <w:noProof/>
              <w:lang w:eastAsia="tr-TR"/>
            </w:rPr>
          </w:pPr>
          <w:r w:rsidRPr="00085854">
            <w:fldChar w:fldCharType="begin"/>
          </w:r>
          <w:r w:rsidR="00D65C41" w:rsidRPr="00CE4C4B">
            <w:instrText xml:space="preserve"> TOC \o "1-3" \h \z \u </w:instrText>
          </w:r>
          <w:r w:rsidRPr="00085854">
            <w:fldChar w:fldCharType="separate"/>
          </w:r>
          <w:hyperlink w:anchor="_Toc536280772" w:history="1">
            <w:r w:rsidR="007B7069" w:rsidRPr="00222835">
              <w:rPr>
                <w:rStyle w:val="Kpr"/>
                <w:noProof/>
              </w:rPr>
              <w:t>Gözden Geçirilmiş Rapor'a Önsöz</w:t>
            </w:r>
            <w:r w:rsidR="007B7069">
              <w:rPr>
                <w:noProof/>
                <w:webHidden/>
              </w:rPr>
              <w:tab/>
            </w:r>
            <w:r>
              <w:rPr>
                <w:noProof/>
                <w:webHidden/>
              </w:rPr>
              <w:fldChar w:fldCharType="begin"/>
            </w:r>
            <w:r w:rsidR="007B7069">
              <w:rPr>
                <w:noProof/>
                <w:webHidden/>
              </w:rPr>
              <w:instrText xml:space="preserve"> PAGEREF _Toc536280772 \h </w:instrText>
            </w:r>
            <w:r>
              <w:rPr>
                <w:noProof/>
                <w:webHidden/>
              </w:rPr>
            </w:r>
            <w:r>
              <w:rPr>
                <w:noProof/>
                <w:webHidden/>
              </w:rPr>
              <w:fldChar w:fldCharType="separate"/>
            </w:r>
            <w:r w:rsidR="007B7069">
              <w:rPr>
                <w:noProof/>
                <w:webHidden/>
              </w:rPr>
              <w:t>2</w:t>
            </w:r>
            <w:r>
              <w:rPr>
                <w:noProof/>
                <w:webHidden/>
              </w:rPr>
              <w:fldChar w:fldCharType="end"/>
            </w:r>
          </w:hyperlink>
        </w:p>
        <w:p w:rsidR="007B7069" w:rsidRDefault="00085854">
          <w:pPr>
            <w:pStyle w:val="T2"/>
            <w:tabs>
              <w:tab w:val="left" w:pos="660"/>
              <w:tab w:val="right" w:leader="dot" w:pos="9346"/>
            </w:tabs>
            <w:rPr>
              <w:rFonts w:eastAsiaTheme="minorEastAsia"/>
              <w:noProof/>
              <w:lang w:eastAsia="tr-TR"/>
            </w:rPr>
          </w:pPr>
          <w:hyperlink w:anchor="_Toc536280773" w:history="1">
            <w:r w:rsidR="007B7069" w:rsidRPr="00222835">
              <w:rPr>
                <w:rStyle w:val="Kpr"/>
                <w:noProof/>
              </w:rPr>
              <w:t>1.</w:t>
            </w:r>
            <w:r w:rsidR="007B7069">
              <w:rPr>
                <w:rFonts w:eastAsiaTheme="minorEastAsia"/>
                <w:noProof/>
                <w:lang w:eastAsia="tr-TR"/>
              </w:rPr>
              <w:tab/>
            </w:r>
            <w:r w:rsidR="007B7069" w:rsidRPr="00222835">
              <w:rPr>
                <w:rStyle w:val="Kpr"/>
                <w:noProof/>
              </w:rPr>
              <w:t>Giriş</w:t>
            </w:r>
            <w:r w:rsidR="007B7069">
              <w:rPr>
                <w:noProof/>
                <w:webHidden/>
              </w:rPr>
              <w:tab/>
            </w:r>
            <w:r>
              <w:rPr>
                <w:noProof/>
                <w:webHidden/>
              </w:rPr>
              <w:fldChar w:fldCharType="begin"/>
            </w:r>
            <w:r w:rsidR="007B7069">
              <w:rPr>
                <w:noProof/>
                <w:webHidden/>
              </w:rPr>
              <w:instrText xml:space="preserve"> PAGEREF _Toc536280773 \h </w:instrText>
            </w:r>
            <w:r>
              <w:rPr>
                <w:noProof/>
                <w:webHidden/>
              </w:rPr>
            </w:r>
            <w:r>
              <w:rPr>
                <w:noProof/>
                <w:webHidden/>
              </w:rPr>
              <w:fldChar w:fldCharType="separate"/>
            </w:r>
            <w:r w:rsidR="007B7069">
              <w:rPr>
                <w:noProof/>
                <w:webHidden/>
              </w:rPr>
              <w:t>3</w:t>
            </w:r>
            <w:r>
              <w:rPr>
                <w:noProof/>
                <w:webHidden/>
              </w:rPr>
              <w:fldChar w:fldCharType="end"/>
            </w:r>
          </w:hyperlink>
        </w:p>
        <w:p w:rsidR="007B7069" w:rsidRDefault="00085854">
          <w:pPr>
            <w:pStyle w:val="T2"/>
            <w:tabs>
              <w:tab w:val="left" w:pos="660"/>
              <w:tab w:val="right" w:leader="dot" w:pos="9346"/>
            </w:tabs>
            <w:rPr>
              <w:rFonts w:eastAsiaTheme="minorEastAsia"/>
              <w:noProof/>
              <w:lang w:eastAsia="tr-TR"/>
            </w:rPr>
          </w:pPr>
          <w:hyperlink w:anchor="_Toc536280774" w:history="1">
            <w:r w:rsidR="007B7069" w:rsidRPr="00222835">
              <w:rPr>
                <w:rStyle w:val="Kpr"/>
                <w:noProof/>
              </w:rPr>
              <w:t>2.</w:t>
            </w:r>
            <w:r w:rsidR="007B7069">
              <w:rPr>
                <w:rFonts w:eastAsiaTheme="minorEastAsia"/>
                <w:noProof/>
                <w:lang w:eastAsia="tr-TR"/>
              </w:rPr>
              <w:tab/>
            </w:r>
            <w:r w:rsidR="007B7069" w:rsidRPr="00222835">
              <w:rPr>
                <w:rStyle w:val="Kpr"/>
                <w:noProof/>
              </w:rPr>
              <w:t>İşçi Sağlığı ve İş Güvenliğini Etkileyen Faktörler</w:t>
            </w:r>
            <w:r w:rsidR="007B7069">
              <w:rPr>
                <w:noProof/>
                <w:webHidden/>
              </w:rPr>
              <w:tab/>
            </w:r>
            <w:r>
              <w:rPr>
                <w:noProof/>
                <w:webHidden/>
              </w:rPr>
              <w:fldChar w:fldCharType="begin"/>
            </w:r>
            <w:r w:rsidR="007B7069">
              <w:rPr>
                <w:noProof/>
                <w:webHidden/>
              </w:rPr>
              <w:instrText xml:space="preserve"> PAGEREF _Toc536280774 \h </w:instrText>
            </w:r>
            <w:r>
              <w:rPr>
                <w:noProof/>
                <w:webHidden/>
              </w:rPr>
            </w:r>
            <w:r>
              <w:rPr>
                <w:noProof/>
                <w:webHidden/>
              </w:rPr>
              <w:fldChar w:fldCharType="separate"/>
            </w:r>
            <w:r w:rsidR="007B7069">
              <w:rPr>
                <w:noProof/>
                <w:webHidden/>
              </w:rPr>
              <w:t>4</w:t>
            </w:r>
            <w:r>
              <w:rPr>
                <w:noProof/>
                <w:webHidden/>
              </w:rPr>
              <w:fldChar w:fldCharType="end"/>
            </w:r>
          </w:hyperlink>
        </w:p>
        <w:p w:rsidR="007B7069" w:rsidRDefault="00085854">
          <w:pPr>
            <w:pStyle w:val="T2"/>
            <w:tabs>
              <w:tab w:val="left" w:pos="660"/>
              <w:tab w:val="right" w:leader="dot" w:pos="9346"/>
            </w:tabs>
            <w:rPr>
              <w:rFonts w:eastAsiaTheme="minorEastAsia"/>
              <w:noProof/>
              <w:lang w:eastAsia="tr-TR"/>
            </w:rPr>
          </w:pPr>
          <w:hyperlink w:anchor="_Toc536280775" w:history="1">
            <w:r w:rsidR="007B7069" w:rsidRPr="00222835">
              <w:rPr>
                <w:rStyle w:val="Kpr"/>
                <w:noProof/>
              </w:rPr>
              <w:t>3.</w:t>
            </w:r>
            <w:r w:rsidR="007B7069">
              <w:rPr>
                <w:rFonts w:eastAsiaTheme="minorEastAsia"/>
                <w:noProof/>
                <w:lang w:eastAsia="tr-TR"/>
              </w:rPr>
              <w:tab/>
            </w:r>
            <w:r w:rsidR="007B7069" w:rsidRPr="00222835">
              <w:rPr>
                <w:rStyle w:val="Kpr"/>
                <w:noProof/>
              </w:rPr>
              <w:t>İş Kazası ve Meslek Hastalığı İstatistikleri</w:t>
            </w:r>
            <w:r w:rsidR="007B7069">
              <w:rPr>
                <w:noProof/>
                <w:webHidden/>
              </w:rPr>
              <w:tab/>
            </w:r>
            <w:r>
              <w:rPr>
                <w:noProof/>
                <w:webHidden/>
              </w:rPr>
              <w:fldChar w:fldCharType="begin"/>
            </w:r>
            <w:r w:rsidR="007B7069">
              <w:rPr>
                <w:noProof/>
                <w:webHidden/>
              </w:rPr>
              <w:instrText xml:space="preserve"> PAGEREF _Toc536280775 \h </w:instrText>
            </w:r>
            <w:r>
              <w:rPr>
                <w:noProof/>
                <w:webHidden/>
              </w:rPr>
            </w:r>
            <w:r>
              <w:rPr>
                <w:noProof/>
                <w:webHidden/>
              </w:rPr>
              <w:fldChar w:fldCharType="separate"/>
            </w:r>
            <w:r w:rsidR="007B7069">
              <w:rPr>
                <w:noProof/>
                <w:webHidden/>
              </w:rPr>
              <w:t>4</w:t>
            </w:r>
            <w:r>
              <w:rPr>
                <w:noProof/>
                <w:webHidden/>
              </w:rPr>
              <w:fldChar w:fldCharType="end"/>
            </w:r>
          </w:hyperlink>
        </w:p>
        <w:p w:rsidR="007B7069" w:rsidRDefault="00085854">
          <w:pPr>
            <w:pStyle w:val="T3"/>
            <w:tabs>
              <w:tab w:val="left" w:pos="1100"/>
              <w:tab w:val="right" w:leader="dot" w:pos="9346"/>
            </w:tabs>
            <w:rPr>
              <w:rFonts w:eastAsiaTheme="minorEastAsia"/>
              <w:noProof/>
              <w:lang w:eastAsia="tr-TR"/>
            </w:rPr>
          </w:pPr>
          <w:hyperlink w:anchor="_Toc536280776" w:history="1">
            <w:r w:rsidR="007B7069" w:rsidRPr="00222835">
              <w:rPr>
                <w:rStyle w:val="Kpr"/>
                <w:noProof/>
              </w:rPr>
              <w:t>3.1.</w:t>
            </w:r>
            <w:r w:rsidR="007B7069">
              <w:rPr>
                <w:rFonts w:eastAsiaTheme="minorEastAsia"/>
                <w:noProof/>
                <w:lang w:eastAsia="tr-TR"/>
              </w:rPr>
              <w:tab/>
            </w:r>
            <w:r w:rsidR="007B7069" w:rsidRPr="00222835">
              <w:rPr>
                <w:rStyle w:val="Kpr"/>
                <w:noProof/>
              </w:rPr>
              <w:t>Sosyal Güvenlik Kurumu (SGK) Verileri Hakkında</w:t>
            </w:r>
            <w:r w:rsidR="007B7069">
              <w:rPr>
                <w:noProof/>
                <w:webHidden/>
              </w:rPr>
              <w:tab/>
            </w:r>
            <w:r>
              <w:rPr>
                <w:noProof/>
                <w:webHidden/>
              </w:rPr>
              <w:fldChar w:fldCharType="begin"/>
            </w:r>
            <w:r w:rsidR="007B7069">
              <w:rPr>
                <w:noProof/>
                <w:webHidden/>
              </w:rPr>
              <w:instrText xml:space="preserve"> PAGEREF _Toc536280776 \h </w:instrText>
            </w:r>
            <w:r>
              <w:rPr>
                <w:noProof/>
                <w:webHidden/>
              </w:rPr>
            </w:r>
            <w:r>
              <w:rPr>
                <w:noProof/>
                <w:webHidden/>
              </w:rPr>
              <w:fldChar w:fldCharType="separate"/>
            </w:r>
            <w:r w:rsidR="007B7069">
              <w:rPr>
                <w:noProof/>
                <w:webHidden/>
              </w:rPr>
              <w:t>4</w:t>
            </w:r>
            <w:r>
              <w:rPr>
                <w:noProof/>
                <w:webHidden/>
              </w:rPr>
              <w:fldChar w:fldCharType="end"/>
            </w:r>
          </w:hyperlink>
        </w:p>
        <w:p w:rsidR="007B7069" w:rsidRDefault="00085854">
          <w:pPr>
            <w:pStyle w:val="T3"/>
            <w:tabs>
              <w:tab w:val="left" w:pos="1100"/>
              <w:tab w:val="right" w:leader="dot" w:pos="9346"/>
            </w:tabs>
            <w:rPr>
              <w:rFonts w:eastAsiaTheme="minorEastAsia"/>
              <w:noProof/>
              <w:lang w:eastAsia="tr-TR"/>
            </w:rPr>
          </w:pPr>
          <w:hyperlink w:anchor="_Toc536280777" w:history="1">
            <w:r w:rsidR="007B7069" w:rsidRPr="00222835">
              <w:rPr>
                <w:rStyle w:val="Kpr"/>
                <w:noProof/>
              </w:rPr>
              <w:t>3.2.</w:t>
            </w:r>
            <w:r w:rsidR="007B7069">
              <w:rPr>
                <w:rFonts w:eastAsiaTheme="minorEastAsia"/>
                <w:noProof/>
                <w:lang w:eastAsia="tr-TR"/>
              </w:rPr>
              <w:tab/>
            </w:r>
            <w:r w:rsidR="007B7069" w:rsidRPr="00222835">
              <w:rPr>
                <w:rStyle w:val="Kpr"/>
                <w:noProof/>
              </w:rPr>
              <w:t>Sigortalılar Hakkında Genel Bilgiler</w:t>
            </w:r>
            <w:r w:rsidR="007B7069">
              <w:rPr>
                <w:noProof/>
                <w:webHidden/>
              </w:rPr>
              <w:tab/>
            </w:r>
            <w:r>
              <w:rPr>
                <w:noProof/>
                <w:webHidden/>
              </w:rPr>
              <w:fldChar w:fldCharType="begin"/>
            </w:r>
            <w:r w:rsidR="007B7069">
              <w:rPr>
                <w:noProof/>
                <w:webHidden/>
              </w:rPr>
              <w:instrText xml:space="preserve"> PAGEREF _Toc536280777 \h </w:instrText>
            </w:r>
            <w:r>
              <w:rPr>
                <w:noProof/>
                <w:webHidden/>
              </w:rPr>
            </w:r>
            <w:r>
              <w:rPr>
                <w:noProof/>
                <w:webHidden/>
              </w:rPr>
              <w:fldChar w:fldCharType="separate"/>
            </w:r>
            <w:r w:rsidR="007B7069">
              <w:rPr>
                <w:noProof/>
                <w:webHidden/>
              </w:rPr>
              <w:t>5</w:t>
            </w:r>
            <w:r>
              <w:rPr>
                <w:noProof/>
                <w:webHidden/>
              </w:rPr>
              <w:fldChar w:fldCharType="end"/>
            </w:r>
          </w:hyperlink>
        </w:p>
        <w:p w:rsidR="007B7069" w:rsidRDefault="00085854">
          <w:pPr>
            <w:pStyle w:val="T3"/>
            <w:tabs>
              <w:tab w:val="left" w:pos="1100"/>
              <w:tab w:val="right" w:leader="dot" w:pos="9346"/>
            </w:tabs>
            <w:rPr>
              <w:rFonts w:eastAsiaTheme="minorEastAsia"/>
              <w:noProof/>
              <w:lang w:eastAsia="tr-TR"/>
            </w:rPr>
          </w:pPr>
          <w:hyperlink w:anchor="_Toc536280778" w:history="1">
            <w:r w:rsidR="007B7069" w:rsidRPr="00222835">
              <w:rPr>
                <w:rStyle w:val="Kpr"/>
                <w:noProof/>
              </w:rPr>
              <w:t>3.3.</w:t>
            </w:r>
            <w:r w:rsidR="007B7069">
              <w:rPr>
                <w:rFonts w:eastAsiaTheme="minorEastAsia"/>
                <w:noProof/>
                <w:lang w:eastAsia="tr-TR"/>
              </w:rPr>
              <w:tab/>
            </w:r>
            <w:r w:rsidR="007B7069" w:rsidRPr="00222835">
              <w:rPr>
                <w:rStyle w:val="Kpr"/>
                <w:noProof/>
              </w:rPr>
              <w:t>İş Kazaları ve Meslek Hastalıkları</w:t>
            </w:r>
            <w:r w:rsidR="007B7069">
              <w:rPr>
                <w:noProof/>
                <w:webHidden/>
              </w:rPr>
              <w:tab/>
            </w:r>
            <w:r>
              <w:rPr>
                <w:noProof/>
                <w:webHidden/>
              </w:rPr>
              <w:fldChar w:fldCharType="begin"/>
            </w:r>
            <w:r w:rsidR="007B7069">
              <w:rPr>
                <w:noProof/>
                <w:webHidden/>
              </w:rPr>
              <w:instrText xml:space="preserve"> PAGEREF _Toc536280778 \h </w:instrText>
            </w:r>
            <w:r>
              <w:rPr>
                <w:noProof/>
                <w:webHidden/>
              </w:rPr>
            </w:r>
            <w:r>
              <w:rPr>
                <w:noProof/>
                <w:webHidden/>
              </w:rPr>
              <w:fldChar w:fldCharType="separate"/>
            </w:r>
            <w:r w:rsidR="007B7069">
              <w:rPr>
                <w:noProof/>
                <w:webHidden/>
              </w:rPr>
              <w:t>6</w:t>
            </w:r>
            <w:r>
              <w:rPr>
                <w:noProof/>
                <w:webHidden/>
              </w:rPr>
              <w:fldChar w:fldCharType="end"/>
            </w:r>
          </w:hyperlink>
        </w:p>
        <w:p w:rsidR="007B7069" w:rsidRDefault="00085854">
          <w:pPr>
            <w:pStyle w:val="T3"/>
            <w:tabs>
              <w:tab w:val="left" w:pos="1100"/>
              <w:tab w:val="right" w:leader="dot" w:pos="9346"/>
            </w:tabs>
            <w:rPr>
              <w:rFonts w:eastAsiaTheme="minorEastAsia"/>
              <w:noProof/>
              <w:lang w:eastAsia="tr-TR"/>
            </w:rPr>
          </w:pPr>
          <w:hyperlink w:anchor="_Toc536280779" w:history="1">
            <w:r w:rsidR="007B7069" w:rsidRPr="00222835">
              <w:rPr>
                <w:rStyle w:val="Kpr"/>
                <w:noProof/>
              </w:rPr>
              <w:t>3.4.</w:t>
            </w:r>
            <w:r w:rsidR="007B7069">
              <w:rPr>
                <w:rFonts w:eastAsiaTheme="minorEastAsia"/>
                <w:noProof/>
                <w:lang w:eastAsia="tr-TR"/>
              </w:rPr>
              <w:tab/>
            </w:r>
            <w:r w:rsidR="007B7069" w:rsidRPr="00222835">
              <w:rPr>
                <w:rStyle w:val="Kpr"/>
                <w:noProof/>
              </w:rPr>
              <w:t>Uzun Dönemli Değişimler</w:t>
            </w:r>
            <w:r w:rsidR="007B7069">
              <w:rPr>
                <w:noProof/>
                <w:webHidden/>
              </w:rPr>
              <w:tab/>
            </w:r>
            <w:r>
              <w:rPr>
                <w:noProof/>
                <w:webHidden/>
              </w:rPr>
              <w:fldChar w:fldCharType="begin"/>
            </w:r>
            <w:r w:rsidR="007B7069">
              <w:rPr>
                <w:noProof/>
                <w:webHidden/>
              </w:rPr>
              <w:instrText xml:space="preserve"> PAGEREF _Toc536280779 \h </w:instrText>
            </w:r>
            <w:r>
              <w:rPr>
                <w:noProof/>
                <w:webHidden/>
              </w:rPr>
            </w:r>
            <w:r>
              <w:rPr>
                <w:noProof/>
                <w:webHidden/>
              </w:rPr>
              <w:fldChar w:fldCharType="separate"/>
            </w:r>
            <w:r w:rsidR="007B7069">
              <w:rPr>
                <w:noProof/>
                <w:webHidden/>
              </w:rPr>
              <w:t>7</w:t>
            </w:r>
            <w:r>
              <w:rPr>
                <w:noProof/>
                <w:webHidden/>
              </w:rPr>
              <w:fldChar w:fldCharType="end"/>
            </w:r>
          </w:hyperlink>
        </w:p>
        <w:p w:rsidR="007B7069" w:rsidRDefault="00085854">
          <w:pPr>
            <w:pStyle w:val="T3"/>
            <w:tabs>
              <w:tab w:val="left" w:pos="1100"/>
              <w:tab w:val="right" w:leader="dot" w:pos="9346"/>
            </w:tabs>
            <w:rPr>
              <w:rFonts w:eastAsiaTheme="minorEastAsia"/>
              <w:noProof/>
              <w:lang w:eastAsia="tr-TR"/>
            </w:rPr>
          </w:pPr>
          <w:hyperlink w:anchor="_Toc536280780" w:history="1">
            <w:r w:rsidR="007B7069" w:rsidRPr="00222835">
              <w:rPr>
                <w:rStyle w:val="Kpr"/>
                <w:noProof/>
              </w:rPr>
              <w:t>3.5.</w:t>
            </w:r>
            <w:r w:rsidR="007B7069">
              <w:rPr>
                <w:rFonts w:eastAsiaTheme="minorEastAsia"/>
                <w:noProof/>
                <w:lang w:eastAsia="tr-TR"/>
              </w:rPr>
              <w:tab/>
            </w:r>
            <w:r w:rsidR="007B7069" w:rsidRPr="00222835">
              <w:rPr>
                <w:rStyle w:val="Kpr"/>
                <w:noProof/>
              </w:rPr>
              <w:t>İş Kazası Sıklık ve Ağırlık Hızları</w:t>
            </w:r>
            <w:r w:rsidR="007B7069">
              <w:rPr>
                <w:noProof/>
                <w:webHidden/>
              </w:rPr>
              <w:tab/>
            </w:r>
            <w:r>
              <w:rPr>
                <w:noProof/>
                <w:webHidden/>
              </w:rPr>
              <w:fldChar w:fldCharType="begin"/>
            </w:r>
            <w:r w:rsidR="007B7069">
              <w:rPr>
                <w:noProof/>
                <w:webHidden/>
              </w:rPr>
              <w:instrText xml:space="preserve"> PAGEREF _Toc536280780 \h </w:instrText>
            </w:r>
            <w:r>
              <w:rPr>
                <w:noProof/>
                <w:webHidden/>
              </w:rPr>
            </w:r>
            <w:r>
              <w:rPr>
                <w:noProof/>
                <w:webHidden/>
              </w:rPr>
              <w:fldChar w:fldCharType="separate"/>
            </w:r>
            <w:r w:rsidR="007B7069">
              <w:rPr>
                <w:noProof/>
                <w:webHidden/>
              </w:rPr>
              <w:t>8</w:t>
            </w:r>
            <w:r>
              <w:rPr>
                <w:noProof/>
                <w:webHidden/>
              </w:rPr>
              <w:fldChar w:fldCharType="end"/>
            </w:r>
          </w:hyperlink>
        </w:p>
        <w:p w:rsidR="007B7069" w:rsidRDefault="00085854">
          <w:pPr>
            <w:pStyle w:val="T3"/>
            <w:tabs>
              <w:tab w:val="left" w:pos="1100"/>
              <w:tab w:val="right" w:leader="dot" w:pos="9346"/>
            </w:tabs>
            <w:rPr>
              <w:rFonts w:eastAsiaTheme="minorEastAsia"/>
              <w:noProof/>
              <w:lang w:eastAsia="tr-TR"/>
            </w:rPr>
          </w:pPr>
          <w:hyperlink w:anchor="_Toc536280781" w:history="1">
            <w:r w:rsidR="007B7069" w:rsidRPr="00222835">
              <w:rPr>
                <w:rStyle w:val="Kpr"/>
                <w:noProof/>
              </w:rPr>
              <w:t>3.6.</w:t>
            </w:r>
            <w:r w:rsidR="007B7069">
              <w:rPr>
                <w:rFonts w:eastAsiaTheme="minorEastAsia"/>
                <w:noProof/>
                <w:lang w:eastAsia="tr-TR"/>
              </w:rPr>
              <w:tab/>
            </w:r>
            <w:r w:rsidR="007B7069" w:rsidRPr="00222835">
              <w:rPr>
                <w:rStyle w:val="Kpr"/>
                <w:noProof/>
              </w:rPr>
              <w:t>İş Cinayetleri</w:t>
            </w:r>
            <w:r w:rsidR="007B7069">
              <w:rPr>
                <w:noProof/>
                <w:webHidden/>
              </w:rPr>
              <w:tab/>
            </w:r>
            <w:r>
              <w:rPr>
                <w:noProof/>
                <w:webHidden/>
              </w:rPr>
              <w:fldChar w:fldCharType="begin"/>
            </w:r>
            <w:r w:rsidR="007B7069">
              <w:rPr>
                <w:noProof/>
                <w:webHidden/>
              </w:rPr>
              <w:instrText xml:space="preserve"> PAGEREF _Toc536280781 \h </w:instrText>
            </w:r>
            <w:r>
              <w:rPr>
                <w:noProof/>
                <w:webHidden/>
              </w:rPr>
            </w:r>
            <w:r>
              <w:rPr>
                <w:noProof/>
                <w:webHidden/>
              </w:rPr>
              <w:fldChar w:fldCharType="separate"/>
            </w:r>
            <w:r w:rsidR="007B7069">
              <w:rPr>
                <w:noProof/>
                <w:webHidden/>
              </w:rPr>
              <w:t>11</w:t>
            </w:r>
            <w:r>
              <w:rPr>
                <w:noProof/>
                <w:webHidden/>
              </w:rPr>
              <w:fldChar w:fldCharType="end"/>
            </w:r>
          </w:hyperlink>
        </w:p>
        <w:p w:rsidR="007B7069" w:rsidRDefault="00085854">
          <w:pPr>
            <w:pStyle w:val="T3"/>
            <w:tabs>
              <w:tab w:val="left" w:pos="1100"/>
              <w:tab w:val="right" w:leader="dot" w:pos="9346"/>
            </w:tabs>
            <w:rPr>
              <w:rFonts w:eastAsiaTheme="minorEastAsia"/>
              <w:noProof/>
              <w:lang w:eastAsia="tr-TR"/>
            </w:rPr>
          </w:pPr>
          <w:hyperlink w:anchor="_Toc536280782" w:history="1">
            <w:r w:rsidR="007B7069" w:rsidRPr="00222835">
              <w:rPr>
                <w:rStyle w:val="Kpr"/>
                <w:noProof/>
              </w:rPr>
              <w:t>3.7.</w:t>
            </w:r>
            <w:r w:rsidR="007B7069">
              <w:rPr>
                <w:rFonts w:eastAsiaTheme="minorEastAsia"/>
                <w:noProof/>
                <w:lang w:eastAsia="tr-TR"/>
              </w:rPr>
              <w:tab/>
            </w:r>
            <w:r w:rsidR="007B7069" w:rsidRPr="00222835">
              <w:rPr>
                <w:rStyle w:val="Kpr"/>
                <w:noProof/>
              </w:rPr>
              <w:t>Meslek Hastalığı Sonucu Ölümler</w:t>
            </w:r>
            <w:r w:rsidR="007B7069">
              <w:rPr>
                <w:noProof/>
                <w:webHidden/>
              </w:rPr>
              <w:tab/>
            </w:r>
            <w:r>
              <w:rPr>
                <w:noProof/>
                <w:webHidden/>
              </w:rPr>
              <w:fldChar w:fldCharType="begin"/>
            </w:r>
            <w:r w:rsidR="007B7069">
              <w:rPr>
                <w:noProof/>
                <w:webHidden/>
              </w:rPr>
              <w:instrText xml:space="preserve"> PAGEREF _Toc536280782 \h </w:instrText>
            </w:r>
            <w:r>
              <w:rPr>
                <w:noProof/>
                <w:webHidden/>
              </w:rPr>
            </w:r>
            <w:r>
              <w:rPr>
                <w:noProof/>
                <w:webHidden/>
              </w:rPr>
              <w:fldChar w:fldCharType="separate"/>
            </w:r>
            <w:r w:rsidR="007B7069">
              <w:rPr>
                <w:noProof/>
                <w:webHidden/>
              </w:rPr>
              <w:t>15</w:t>
            </w:r>
            <w:r>
              <w:rPr>
                <w:noProof/>
                <w:webHidden/>
              </w:rPr>
              <w:fldChar w:fldCharType="end"/>
            </w:r>
          </w:hyperlink>
        </w:p>
        <w:p w:rsidR="007B7069" w:rsidRDefault="00085854">
          <w:pPr>
            <w:pStyle w:val="T2"/>
            <w:tabs>
              <w:tab w:val="left" w:pos="660"/>
              <w:tab w:val="right" w:leader="dot" w:pos="9346"/>
            </w:tabs>
            <w:rPr>
              <w:rFonts w:eastAsiaTheme="minorEastAsia"/>
              <w:noProof/>
              <w:lang w:eastAsia="tr-TR"/>
            </w:rPr>
          </w:pPr>
          <w:hyperlink w:anchor="_Toc536280783" w:history="1">
            <w:r w:rsidR="007B7069" w:rsidRPr="00222835">
              <w:rPr>
                <w:rStyle w:val="Kpr"/>
                <w:noProof/>
              </w:rPr>
              <w:t>4.</w:t>
            </w:r>
            <w:r w:rsidR="007B7069">
              <w:rPr>
                <w:rFonts w:eastAsiaTheme="minorEastAsia"/>
                <w:noProof/>
                <w:lang w:eastAsia="tr-TR"/>
              </w:rPr>
              <w:tab/>
            </w:r>
            <w:r w:rsidR="007B7069" w:rsidRPr="00222835">
              <w:rPr>
                <w:rStyle w:val="Kpr"/>
                <w:noProof/>
              </w:rPr>
              <w:t>Uluslararası Karşılaştırmalar</w:t>
            </w:r>
            <w:r w:rsidR="007B7069">
              <w:rPr>
                <w:noProof/>
                <w:webHidden/>
              </w:rPr>
              <w:tab/>
            </w:r>
            <w:r>
              <w:rPr>
                <w:noProof/>
                <w:webHidden/>
              </w:rPr>
              <w:fldChar w:fldCharType="begin"/>
            </w:r>
            <w:r w:rsidR="007B7069">
              <w:rPr>
                <w:noProof/>
                <w:webHidden/>
              </w:rPr>
              <w:instrText xml:space="preserve"> PAGEREF _Toc536280783 \h </w:instrText>
            </w:r>
            <w:r>
              <w:rPr>
                <w:noProof/>
                <w:webHidden/>
              </w:rPr>
            </w:r>
            <w:r>
              <w:rPr>
                <w:noProof/>
                <w:webHidden/>
              </w:rPr>
              <w:fldChar w:fldCharType="separate"/>
            </w:r>
            <w:r w:rsidR="007B7069">
              <w:rPr>
                <w:noProof/>
                <w:webHidden/>
              </w:rPr>
              <w:t>16</w:t>
            </w:r>
            <w:r>
              <w:rPr>
                <w:noProof/>
                <w:webHidden/>
              </w:rPr>
              <w:fldChar w:fldCharType="end"/>
            </w:r>
          </w:hyperlink>
        </w:p>
        <w:p w:rsidR="007B7069" w:rsidRDefault="00085854">
          <w:pPr>
            <w:pStyle w:val="T2"/>
            <w:tabs>
              <w:tab w:val="left" w:pos="660"/>
              <w:tab w:val="right" w:leader="dot" w:pos="9346"/>
            </w:tabs>
            <w:rPr>
              <w:rFonts w:eastAsiaTheme="minorEastAsia"/>
              <w:noProof/>
              <w:lang w:eastAsia="tr-TR"/>
            </w:rPr>
          </w:pPr>
          <w:hyperlink w:anchor="_Toc536280784" w:history="1">
            <w:r w:rsidR="007B7069" w:rsidRPr="00222835">
              <w:rPr>
                <w:rStyle w:val="Kpr"/>
                <w:noProof/>
              </w:rPr>
              <w:t>5.</w:t>
            </w:r>
            <w:r w:rsidR="007B7069">
              <w:rPr>
                <w:rFonts w:eastAsiaTheme="minorEastAsia"/>
                <w:noProof/>
                <w:lang w:eastAsia="tr-TR"/>
              </w:rPr>
              <w:tab/>
            </w:r>
            <w:r w:rsidR="007B7069" w:rsidRPr="00222835">
              <w:rPr>
                <w:rStyle w:val="Kpr"/>
                <w:noProof/>
              </w:rPr>
              <w:t>Değerlendirme ve Öneriler</w:t>
            </w:r>
            <w:r w:rsidR="007B7069">
              <w:rPr>
                <w:noProof/>
                <w:webHidden/>
              </w:rPr>
              <w:tab/>
            </w:r>
            <w:r>
              <w:rPr>
                <w:noProof/>
                <w:webHidden/>
              </w:rPr>
              <w:fldChar w:fldCharType="begin"/>
            </w:r>
            <w:r w:rsidR="007B7069">
              <w:rPr>
                <w:noProof/>
                <w:webHidden/>
              </w:rPr>
              <w:instrText xml:space="preserve"> PAGEREF _Toc536280784 \h </w:instrText>
            </w:r>
            <w:r>
              <w:rPr>
                <w:noProof/>
                <w:webHidden/>
              </w:rPr>
            </w:r>
            <w:r>
              <w:rPr>
                <w:noProof/>
                <w:webHidden/>
              </w:rPr>
              <w:fldChar w:fldCharType="separate"/>
            </w:r>
            <w:r w:rsidR="007B7069">
              <w:rPr>
                <w:noProof/>
                <w:webHidden/>
              </w:rPr>
              <w:t>19</w:t>
            </w:r>
            <w:r>
              <w:rPr>
                <w:noProof/>
                <w:webHidden/>
              </w:rPr>
              <w:fldChar w:fldCharType="end"/>
            </w:r>
          </w:hyperlink>
        </w:p>
        <w:p w:rsidR="007B7069" w:rsidRDefault="00085854">
          <w:pPr>
            <w:pStyle w:val="T2"/>
            <w:tabs>
              <w:tab w:val="right" w:leader="dot" w:pos="9346"/>
            </w:tabs>
            <w:rPr>
              <w:rFonts w:eastAsiaTheme="minorEastAsia"/>
              <w:noProof/>
              <w:lang w:eastAsia="tr-TR"/>
            </w:rPr>
          </w:pPr>
          <w:hyperlink w:anchor="_Toc536280785" w:history="1">
            <w:r w:rsidR="007B7069">
              <w:rPr>
                <w:rStyle w:val="Kpr"/>
                <w:noProof/>
              </w:rPr>
              <w:t>Kaynaklar</w:t>
            </w:r>
            <w:r w:rsidR="007B7069">
              <w:rPr>
                <w:noProof/>
                <w:webHidden/>
              </w:rPr>
              <w:tab/>
            </w:r>
            <w:r>
              <w:rPr>
                <w:noProof/>
                <w:webHidden/>
              </w:rPr>
              <w:fldChar w:fldCharType="begin"/>
            </w:r>
            <w:r w:rsidR="007B7069">
              <w:rPr>
                <w:noProof/>
                <w:webHidden/>
              </w:rPr>
              <w:instrText xml:space="preserve"> PAGEREF _Toc536280785 \h </w:instrText>
            </w:r>
            <w:r>
              <w:rPr>
                <w:noProof/>
                <w:webHidden/>
              </w:rPr>
            </w:r>
            <w:r>
              <w:rPr>
                <w:noProof/>
                <w:webHidden/>
              </w:rPr>
              <w:fldChar w:fldCharType="separate"/>
            </w:r>
            <w:r w:rsidR="007B7069">
              <w:rPr>
                <w:noProof/>
                <w:webHidden/>
              </w:rPr>
              <w:t>21</w:t>
            </w:r>
            <w:r>
              <w:rPr>
                <w:noProof/>
                <w:webHidden/>
              </w:rPr>
              <w:fldChar w:fldCharType="end"/>
            </w:r>
          </w:hyperlink>
        </w:p>
        <w:p w:rsidR="00D65C41" w:rsidRPr="00CE4C4B" w:rsidRDefault="00085854">
          <w:r w:rsidRPr="00CE4C4B">
            <w:rPr>
              <w:b/>
              <w:bCs/>
            </w:rPr>
            <w:fldChar w:fldCharType="end"/>
          </w:r>
        </w:p>
      </w:sdtContent>
    </w:sdt>
    <w:p w:rsidR="00D65C41" w:rsidRPr="00CE4C4B" w:rsidRDefault="00D65C41" w:rsidP="00155DF8">
      <w:pPr>
        <w:pStyle w:val="TBal"/>
        <w:spacing w:before="240" w:after="120"/>
        <w:rPr>
          <w:color w:val="auto"/>
          <w:sz w:val="26"/>
          <w:szCs w:val="26"/>
        </w:rPr>
      </w:pPr>
      <w:r w:rsidRPr="00CE4C4B">
        <w:rPr>
          <w:color w:val="auto"/>
          <w:sz w:val="26"/>
          <w:szCs w:val="26"/>
        </w:rPr>
        <w:t xml:space="preserve">Tablo </w:t>
      </w:r>
      <w:r w:rsidR="00D91D3E" w:rsidRPr="00CE4C4B">
        <w:rPr>
          <w:color w:val="auto"/>
          <w:sz w:val="26"/>
          <w:szCs w:val="26"/>
        </w:rPr>
        <w:t xml:space="preserve">ve Grafik </w:t>
      </w:r>
      <w:r w:rsidRPr="00CE4C4B">
        <w:rPr>
          <w:color w:val="auto"/>
          <w:sz w:val="26"/>
          <w:szCs w:val="26"/>
        </w:rPr>
        <w:t>Listesi</w:t>
      </w:r>
    </w:p>
    <w:p w:rsidR="00BF7B0A" w:rsidRDefault="00085854" w:rsidP="007B7069">
      <w:pPr>
        <w:pStyle w:val="ekillerTablosu"/>
        <w:tabs>
          <w:tab w:val="right" w:leader="dot" w:pos="9346"/>
        </w:tabs>
        <w:spacing w:before="60" w:after="60" w:line="240" w:lineRule="auto"/>
        <w:rPr>
          <w:rFonts w:eastAsiaTheme="minorEastAsia"/>
          <w:noProof/>
          <w:lang w:eastAsia="tr-TR"/>
        </w:rPr>
      </w:pPr>
      <w:r w:rsidRPr="00CE4C4B">
        <w:fldChar w:fldCharType="begin"/>
      </w:r>
      <w:r w:rsidR="00D65C41" w:rsidRPr="00CE4C4B">
        <w:instrText xml:space="preserve"> TOC \h \z \t "Tablo Başlığı" \c </w:instrText>
      </w:r>
      <w:r w:rsidRPr="00CE4C4B">
        <w:fldChar w:fldCharType="separate"/>
      </w:r>
      <w:hyperlink w:anchor="_Toc536279459" w:history="1">
        <w:r w:rsidR="00BF7B0A" w:rsidRPr="00516132">
          <w:rPr>
            <w:rStyle w:val="Kpr"/>
            <w:b/>
            <w:noProof/>
          </w:rPr>
          <w:t xml:space="preserve">Tablo-1: </w:t>
        </w:r>
        <w:r w:rsidR="00BF7B0A" w:rsidRPr="00516132">
          <w:rPr>
            <w:rStyle w:val="Kpr"/>
            <w:noProof/>
          </w:rPr>
          <w:t>Türkiye</w:t>
        </w:r>
        <w:r w:rsidR="00BF7B0A" w:rsidRPr="00516132">
          <w:rPr>
            <w:rStyle w:val="Kpr"/>
            <w:b/>
            <w:noProof/>
          </w:rPr>
          <w:t xml:space="preserve"> </w:t>
        </w:r>
        <w:r w:rsidR="00BF7B0A" w:rsidRPr="00516132">
          <w:rPr>
            <w:rStyle w:val="Kpr"/>
            <w:noProof/>
          </w:rPr>
          <w:t>Sosyal Güvenlik Kapsamı, 2010-2017</w:t>
        </w:r>
        <w:r w:rsidR="00BF7B0A">
          <w:rPr>
            <w:noProof/>
            <w:webHidden/>
          </w:rPr>
          <w:tab/>
        </w:r>
        <w:r>
          <w:rPr>
            <w:noProof/>
            <w:webHidden/>
          </w:rPr>
          <w:fldChar w:fldCharType="begin"/>
        </w:r>
        <w:r w:rsidR="00BF7B0A">
          <w:rPr>
            <w:noProof/>
            <w:webHidden/>
          </w:rPr>
          <w:instrText xml:space="preserve"> PAGEREF _Toc536279459 \h </w:instrText>
        </w:r>
        <w:r>
          <w:rPr>
            <w:noProof/>
            <w:webHidden/>
          </w:rPr>
        </w:r>
        <w:r>
          <w:rPr>
            <w:noProof/>
            <w:webHidden/>
          </w:rPr>
          <w:fldChar w:fldCharType="separate"/>
        </w:r>
        <w:r w:rsidR="00A91BD3">
          <w:rPr>
            <w:noProof/>
            <w:webHidden/>
          </w:rPr>
          <w:t>5</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0" w:history="1">
        <w:r w:rsidR="00BF7B0A" w:rsidRPr="00516132">
          <w:rPr>
            <w:rStyle w:val="Kpr"/>
            <w:b/>
            <w:noProof/>
          </w:rPr>
          <w:t>Tablo-2</w:t>
        </w:r>
        <w:r w:rsidR="00BF7B0A" w:rsidRPr="00516132">
          <w:rPr>
            <w:rStyle w:val="Kpr"/>
            <w:noProof/>
          </w:rPr>
          <w:t>: Türkiye'de Sigortalı Sayıları, 2015-2017</w:t>
        </w:r>
        <w:r w:rsidR="00BF7B0A">
          <w:rPr>
            <w:noProof/>
            <w:webHidden/>
          </w:rPr>
          <w:tab/>
        </w:r>
        <w:r>
          <w:rPr>
            <w:noProof/>
            <w:webHidden/>
          </w:rPr>
          <w:fldChar w:fldCharType="begin"/>
        </w:r>
        <w:r w:rsidR="00BF7B0A">
          <w:rPr>
            <w:noProof/>
            <w:webHidden/>
          </w:rPr>
          <w:instrText xml:space="preserve"> PAGEREF _Toc536279460 \h </w:instrText>
        </w:r>
        <w:r>
          <w:rPr>
            <w:noProof/>
            <w:webHidden/>
          </w:rPr>
        </w:r>
        <w:r>
          <w:rPr>
            <w:noProof/>
            <w:webHidden/>
          </w:rPr>
          <w:fldChar w:fldCharType="separate"/>
        </w:r>
        <w:r w:rsidR="00A91BD3">
          <w:rPr>
            <w:noProof/>
            <w:webHidden/>
          </w:rPr>
          <w:t>6</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1" w:history="1">
        <w:r w:rsidR="00BF7B0A" w:rsidRPr="00516132">
          <w:rPr>
            <w:rStyle w:val="Kpr"/>
            <w:b/>
            <w:noProof/>
          </w:rPr>
          <w:t>Grafik-1</w:t>
        </w:r>
        <w:r w:rsidR="00BF7B0A" w:rsidRPr="00516132">
          <w:rPr>
            <w:rStyle w:val="Kpr"/>
            <w:noProof/>
          </w:rPr>
          <w:t>: Türkiye'de iş kazası oranı; 1961-2017</w:t>
        </w:r>
        <w:r w:rsidR="00BF7B0A">
          <w:rPr>
            <w:noProof/>
            <w:webHidden/>
          </w:rPr>
          <w:tab/>
        </w:r>
        <w:r>
          <w:rPr>
            <w:noProof/>
            <w:webHidden/>
          </w:rPr>
          <w:fldChar w:fldCharType="begin"/>
        </w:r>
        <w:r w:rsidR="00BF7B0A">
          <w:rPr>
            <w:noProof/>
            <w:webHidden/>
          </w:rPr>
          <w:instrText xml:space="preserve"> PAGEREF _Toc536279461 \h </w:instrText>
        </w:r>
        <w:r>
          <w:rPr>
            <w:noProof/>
            <w:webHidden/>
          </w:rPr>
        </w:r>
        <w:r>
          <w:rPr>
            <w:noProof/>
            <w:webHidden/>
          </w:rPr>
          <w:fldChar w:fldCharType="separate"/>
        </w:r>
        <w:r w:rsidR="00A91BD3">
          <w:rPr>
            <w:noProof/>
            <w:webHidden/>
          </w:rPr>
          <w:t>7</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2" w:history="1">
        <w:r w:rsidR="00BF7B0A" w:rsidRPr="00516132">
          <w:rPr>
            <w:rStyle w:val="Kpr"/>
            <w:b/>
            <w:noProof/>
          </w:rPr>
          <w:t>Tablo-3</w:t>
        </w:r>
        <w:r w:rsidR="00BF7B0A" w:rsidRPr="00516132">
          <w:rPr>
            <w:rStyle w:val="Kpr"/>
            <w:noProof/>
          </w:rPr>
          <w:t>: İş Kazası Sıklık ve Ağırlık Hızları, 2012 - 2017</w:t>
        </w:r>
        <w:r w:rsidR="00BF7B0A">
          <w:rPr>
            <w:noProof/>
            <w:webHidden/>
          </w:rPr>
          <w:tab/>
        </w:r>
        <w:r>
          <w:rPr>
            <w:noProof/>
            <w:webHidden/>
          </w:rPr>
          <w:fldChar w:fldCharType="begin"/>
        </w:r>
        <w:r w:rsidR="00BF7B0A">
          <w:rPr>
            <w:noProof/>
            <w:webHidden/>
          </w:rPr>
          <w:instrText xml:space="preserve"> PAGEREF _Toc536279462 \h </w:instrText>
        </w:r>
        <w:r>
          <w:rPr>
            <w:noProof/>
            <w:webHidden/>
          </w:rPr>
        </w:r>
        <w:r>
          <w:rPr>
            <w:noProof/>
            <w:webHidden/>
          </w:rPr>
          <w:fldChar w:fldCharType="separate"/>
        </w:r>
        <w:r w:rsidR="00A91BD3">
          <w:rPr>
            <w:noProof/>
            <w:webHidden/>
          </w:rPr>
          <w:t>8</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3" w:history="1">
        <w:r w:rsidR="00BF7B0A" w:rsidRPr="00516132">
          <w:rPr>
            <w:rStyle w:val="Kpr"/>
            <w:b/>
            <w:noProof/>
          </w:rPr>
          <w:t xml:space="preserve">Tablo-4: </w:t>
        </w:r>
        <w:r w:rsidR="00BF7B0A" w:rsidRPr="00516132">
          <w:rPr>
            <w:rStyle w:val="Kpr"/>
            <w:noProof/>
          </w:rPr>
          <w:t>SGK verilerine göre Türkiye'de İş Kazaları ve Meslek Hastalıkları, 1995-2017</w:t>
        </w:r>
        <w:r w:rsidR="00BF7B0A">
          <w:rPr>
            <w:noProof/>
            <w:webHidden/>
          </w:rPr>
          <w:tab/>
        </w:r>
        <w:r>
          <w:rPr>
            <w:noProof/>
            <w:webHidden/>
          </w:rPr>
          <w:fldChar w:fldCharType="begin"/>
        </w:r>
        <w:r w:rsidR="00BF7B0A">
          <w:rPr>
            <w:noProof/>
            <w:webHidden/>
          </w:rPr>
          <w:instrText xml:space="preserve"> PAGEREF _Toc536279463 \h </w:instrText>
        </w:r>
        <w:r>
          <w:rPr>
            <w:noProof/>
            <w:webHidden/>
          </w:rPr>
        </w:r>
        <w:r>
          <w:rPr>
            <w:noProof/>
            <w:webHidden/>
          </w:rPr>
          <w:fldChar w:fldCharType="separate"/>
        </w:r>
        <w:r w:rsidR="00A91BD3">
          <w:rPr>
            <w:noProof/>
            <w:webHidden/>
          </w:rPr>
          <w:t>9</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4" w:history="1">
        <w:r w:rsidR="00BF7B0A" w:rsidRPr="00516132">
          <w:rPr>
            <w:rStyle w:val="Kpr"/>
            <w:b/>
            <w:noProof/>
          </w:rPr>
          <w:t>Tablo-5:</w:t>
        </w:r>
        <w:r w:rsidR="00BF7B0A" w:rsidRPr="00516132">
          <w:rPr>
            <w:rStyle w:val="Kpr"/>
            <w:noProof/>
          </w:rPr>
          <w:t xml:space="preserve"> Sürekli İş Göremezlik Geliri ve Vazife Malulü Aylığı Bağlananlar ve Alanlar, 2007-2017</w:t>
        </w:r>
        <w:r w:rsidR="00BF7B0A">
          <w:rPr>
            <w:noProof/>
            <w:webHidden/>
          </w:rPr>
          <w:tab/>
        </w:r>
        <w:r>
          <w:rPr>
            <w:noProof/>
            <w:webHidden/>
          </w:rPr>
          <w:fldChar w:fldCharType="begin"/>
        </w:r>
        <w:r w:rsidR="00BF7B0A">
          <w:rPr>
            <w:noProof/>
            <w:webHidden/>
          </w:rPr>
          <w:instrText xml:space="preserve"> PAGEREF _Toc536279464 \h </w:instrText>
        </w:r>
        <w:r>
          <w:rPr>
            <w:noProof/>
            <w:webHidden/>
          </w:rPr>
        </w:r>
        <w:r>
          <w:rPr>
            <w:noProof/>
            <w:webHidden/>
          </w:rPr>
          <w:fldChar w:fldCharType="separate"/>
        </w:r>
        <w:r w:rsidR="00A91BD3">
          <w:rPr>
            <w:noProof/>
            <w:webHidden/>
          </w:rPr>
          <w:t>10</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5" w:history="1">
        <w:r w:rsidR="00BF7B0A" w:rsidRPr="00516132">
          <w:rPr>
            <w:rStyle w:val="Kpr"/>
            <w:b/>
            <w:noProof/>
          </w:rPr>
          <w:t>Tablo-6:</w:t>
        </w:r>
        <w:r w:rsidR="00BF7B0A" w:rsidRPr="00516132">
          <w:rPr>
            <w:rStyle w:val="Kpr"/>
            <w:noProof/>
          </w:rPr>
          <w:t xml:space="preserve"> İş Kazası sonucu ölen işçilerin (4-1/a) İşkollarına Dağılımı*, 2017</w:t>
        </w:r>
        <w:r w:rsidR="00BF7B0A">
          <w:rPr>
            <w:noProof/>
            <w:webHidden/>
          </w:rPr>
          <w:tab/>
        </w:r>
        <w:r>
          <w:rPr>
            <w:noProof/>
            <w:webHidden/>
          </w:rPr>
          <w:fldChar w:fldCharType="begin"/>
        </w:r>
        <w:r w:rsidR="00BF7B0A">
          <w:rPr>
            <w:noProof/>
            <w:webHidden/>
          </w:rPr>
          <w:instrText xml:space="preserve"> PAGEREF _Toc536279465 \h </w:instrText>
        </w:r>
        <w:r>
          <w:rPr>
            <w:noProof/>
            <w:webHidden/>
          </w:rPr>
        </w:r>
        <w:r>
          <w:rPr>
            <w:noProof/>
            <w:webHidden/>
          </w:rPr>
          <w:fldChar w:fldCharType="separate"/>
        </w:r>
        <w:r w:rsidR="00A91BD3">
          <w:rPr>
            <w:noProof/>
            <w:webHidden/>
          </w:rPr>
          <w:t>12</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6" w:history="1">
        <w:r w:rsidR="00BF7B0A" w:rsidRPr="00516132">
          <w:rPr>
            <w:rStyle w:val="Kpr"/>
            <w:b/>
            <w:noProof/>
          </w:rPr>
          <w:t>Tablo-7:</w:t>
        </w:r>
        <w:r w:rsidR="00BF7B0A" w:rsidRPr="00516132">
          <w:rPr>
            <w:rStyle w:val="Kpr"/>
            <w:noProof/>
          </w:rPr>
          <w:t xml:space="preserve"> İş Kazası Sonucu Ölen İşçilerin İllere Göre Dağılımı, 2017</w:t>
        </w:r>
        <w:r w:rsidR="00BF7B0A">
          <w:rPr>
            <w:noProof/>
            <w:webHidden/>
          </w:rPr>
          <w:tab/>
        </w:r>
        <w:r>
          <w:rPr>
            <w:noProof/>
            <w:webHidden/>
          </w:rPr>
          <w:fldChar w:fldCharType="begin"/>
        </w:r>
        <w:r w:rsidR="00BF7B0A">
          <w:rPr>
            <w:noProof/>
            <w:webHidden/>
          </w:rPr>
          <w:instrText xml:space="preserve"> PAGEREF _Toc536279466 \h </w:instrText>
        </w:r>
        <w:r>
          <w:rPr>
            <w:noProof/>
            <w:webHidden/>
          </w:rPr>
        </w:r>
        <w:r>
          <w:rPr>
            <w:noProof/>
            <w:webHidden/>
          </w:rPr>
          <w:fldChar w:fldCharType="separate"/>
        </w:r>
        <w:r w:rsidR="00A91BD3">
          <w:rPr>
            <w:noProof/>
            <w:webHidden/>
          </w:rPr>
          <w:t>13</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7" w:history="1">
        <w:r w:rsidR="00BF7B0A" w:rsidRPr="00516132">
          <w:rPr>
            <w:rStyle w:val="Kpr"/>
            <w:b/>
            <w:noProof/>
          </w:rPr>
          <w:t>Grafik-2:</w:t>
        </w:r>
        <w:r w:rsidR="00BF7B0A" w:rsidRPr="00516132">
          <w:rPr>
            <w:rStyle w:val="Kpr"/>
            <w:noProof/>
          </w:rPr>
          <w:t xml:space="preserve"> En çok ölüm olan illerde ölüm hızları, yüzbin işçide, 2017</w:t>
        </w:r>
        <w:r w:rsidR="00BF7B0A">
          <w:rPr>
            <w:noProof/>
            <w:webHidden/>
          </w:rPr>
          <w:tab/>
        </w:r>
        <w:r>
          <w:rPr>
            <w:noProof/>
            <w:webHidden/>
          </w:rPr>
          <w:fldChar w:fldCharType="begin"/>
        </w:r>
        <w:r w:rsidR="00BF7B0A">
          <w:rPr>
            <w:noProof/>
            <w:webHidden/>
          </w:rPr>
          <w:instrText xml:space="preserve"> PAGEREF _Toc536279467 \h </w:instrText>
        </w:r>
        <w:r>
          <w:rPr>
            <w:noProof/>
            <w:webHidden/>
          </w:rPr>
        </w:r>
        <w:r>
          <w:rPr>
            <w:noProof/>
            <w:webHidden/>
          </w:rPr>
          <w:fldChar w:fldCharType="separate"/>
        </w:r>
        <w:r w:rsidR="00A91BD3">
          <w:rPr>
            <w:noProof/>
            <w:webHidden/>
          </w:rPr>
          <w:t>13</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8" w:history="1">
        <w:r w:rsidR="00BF7B0A" w:rsidRPr="00516132">
          <w:rPr>
            <w:rStyle w:val="Kpr"/>
            <w:b/>
            <w:noProof/>
          </w:rPr>
          <w:t>Tablo-8:</w:t>
        </w:r>
        <w:r w:rsidR="00BF7B0A" w:rsidRPr="00516132">
          <w:rPr>
            <w:rStyle w:val="Kpr"/>
            <w:noProof/>
          </w:rPr>
          <w:t xml:space="preserve"> </w:t>
        </w:r>
        <w:r w:rsidR="00BF7B0A" w:rsidRPr="00BF7B0A">
          <w:rPr>
            <w:rStyle w:val="Kpr"/>
            <w:noProof/>
            <w:spacing w:val="-2"/>
          </w:rPr>
          <w:t>İş Kazası ve Meslek Hastalığı Sonucu Ölümler ve Ölüm Geliri Bağlanan Dosya Sayısı; 2004-2017</w:t>
        </w:r>
        <w:r w:rsidR="00BF7B0A">
          <w:rPr>
            <w:noProof/>
            <w:webHidden/>
          </w:rPr>
          <w:tab/>
        </w:r>
        <w:r>
          <w:rPr>
            <w:noProof/>
            <w:webHidden/>
          </w:rPr>
          <w:fldChar w:fldCharType="begin"/>
        </w:r>
        <w:r w:rsidR="00BF7B0A">
          <w:rPr>
            <w:noProof/>
            <w:webHidden/>
          </w:rPr>
          <w:instrText xml:space="preserve"> PAGEREF _Toc536279468 \h </w:instrText>
        </w:r>
        <w:r>
          <w:rPr>
            <w:noProof/>
            <w:webHidden/>
          </w:rPr>
        </w:r>
        <w:r>
          <w:rPr>
            <w:noProof/>
            <w:webHidden/>
          </w:rPr>
          <w:fldChar w:fldCharType="separate"/>
        </w:r>
        <w:r w:rsidR="00A91BD3">
          <w:rPr>
            <w:noProof/>
            <w:webHidden/>
          </w:rPr>
          <w:t>14</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69" w:history="1">
        <w:r w:rsidR="00BF7B0A" w:rsidRPr="00516132">
          <w:rPr>
            <w:rStyle w:val="Kpr"/>
            <w:b/>
            <w:noProof/>
          </w:rPr>
          <w:t>Tablo-9</w:t>
        </w:r>
        <w:r w:rsidR="00BF7B0A" w:rsidRPr="00516132">
          <w:rPr>
            <w:rStyle w:val="Kpr"/>
            <w:noProof/>
          </w:rPr>
          <w:t xml:space="preserve">: </w:t>
        </w:r>
        <w:r w:rsidR="00BF7B0A" w:rsidRPr="00516132">
          <w:rPr>
            <w:rStyle w:val="Kpr"/>
            <w:noProof/>
            <w:spacing w:val="-4"/>
          </w:rPr>
          <w:t>Meslek Hastalığı Sonucu Ölen İşçiler İçin Ölüm Geliri Bağlanan Hak Sahipleri, 2013-2017</w:t>
        </w:r>
        <w:r w:rsidR="00BF7B0A">
          <w:rPr>
            <w:noProof/>
            <w:webHidden/>
          </w:rPr>
          <w:tab/>
        </w:r>
        <w:r>
          <w:rPr>
            <w:noProof/>
            <w:webHidden/>
          </w:rPr>
          <w:fldChar w:fldCharType="begin"/>
        </w:r>
        <w:r w:rsidR="00BF7B0A">
          <w:rPr>
            <w:noProof/>
            <w:webHidden/>
          </w:rPr>
          <w:instrText xml:space="preserve"> PAGEREF _Toc536279469 \h </w:instrText>
        </w:r>
        <w:r>
          <w:rPr>
            <w:noProof/>
            <w:webHidden/>
          </w:rPr>
        </w:r>
        <w:r>
          <w:rPr>
            <w:noProof/>
            <w:webHidden/>
          </w:rPr>
          <w:fldChar w:fldCharType="separate"/>
        </w:r>
        <w:r w:rsidR="00A91BD3">
          <w:rPr>
            <w:noProof/>
            <w:webHidden/>
          </w:rPr>
          <w:t>15</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70" w:history="1">
        <w:r w:rsidR="00BF7B0A" w:rsidRPr="00516132">
          <w:rPr>
            <w:rStyle w:val="Kpr"/>
            <w:b/>
            <w:noProof/>
          </w:rPr>
          <w:t>Grafik-3:</w:t>
        </w:r>
        <w:r w:rsidR="00BF7B0A" w:rsidRPr="00516132">
          <w:rPr>
            <w:rStyle w:val="Kpr"/>
            <w:noProof/>
          </w:rPr>
          <w:t xml:space="preserve"> </w:t>
        </w:r>
        <w:r w:rsidR="00BF7B0A" w:rsidRPr="00BF7B0A">
          <w:rPr>
            <w:rStyle w:val="Kpr"/>
            <w:noProof/>
            <w:spacing w:val="2"/>
          </w:rPr>
          <w:t>Seçilmiş Avrupa Ülkeleri ve Türkiye'de İş Kazası Nedeniyle Ölüm Hızı (100.000 çalışanda), 2015-2016</w:t>
        </w:r>
        <w:r w:rsidR="00BF7B0A">
          <w:rPr>
            <w:noProof/>
            <w:webHidden/>
          </w:rPr>
          <w:tab/>
        </w:r>
        <w:r>
          <w:rPr>
            <w:noProof/>
            <w:webHidden/>
          </w:rPr>
          <w:fldChar w:fldCharType="begin"/>
        </w:r>
        <w:r w:rsidR="00BF7B0A">
          <w:rPr>
            <w:noProof/>
            <w:webHidden/>
          </w:rPr>
          <w:instrText xml:space="preserve"> PAGEREF _Toc536279470 \h </w:instrText>
        </w:r>
        <w:r>
          <w:rPr>
            <w:noProof/>
            <w:webHidden/>
          </w:rPr>
        </w:r>
        <w:r>
          <w:rPr>
            <w:noProof/>
            <w:webHidden/>
          </w:rPr>
          <w:fldChar w:fldCharType="separate"/>
        </w:r>
        <w:r w:rsidR="00A91BD3">
          <w:rPr>
            <w:noProof/>
            <w:webHidden/>
          </w:rPr>
          <w:t>17</w:t>
        </w:r>
        <w:r>
          <w:rPr>
            <w:noProof/>
            <w:webHidden/>
          </w:rPr>
          <w:fldChar w:fldCharType="end"/>
        </w:r>
      </w:hyperlink>
    </w:p>
    <w:p w:rsidR="00BF7B0A" w:rsidRDefault="00085854" w:rsidP="007B7069">
      <w:pPr>
        <w:pStyle w:val="ekillerTablosu"/>
        <w:tabs>
          <w:tab w:val="right" w:leader="dot" w:pos="9346"/>
        </w:tabs>
        <w:spacing w:before="60" w:after="60" w:line="240" w:lineRule="auto"/>
        <w:rPr>
          <w:rFonts w:eastAsiaTheme="minorEastAsia"/>
          <w:noProof/>
          <w:lang w:eastAsia="tr-TR"/>
        </w:rPr>
      </w:pPr>
      <w:hyperlink w:anchor="_Toc536279471" w:history="1">
        <w:r w:rsidR="00BF7B0A" w:rsidRPr="00516132">
          <w:rPr>
            <w:rStyle w:val="Kpr"/>
            <w:b/>
            <w:noProof/>
          </w:rPr>
          <w:t>Tablo-11:</w:t>
        </w:r>
        <w:r w:rsidR="00BF7B0A" w:rsidRPr="00516132">
          <w:rPr>
            <w:rStyle w:val="Kpr"/>
            <w:noProof/>
          </w:rPr>
          <w:t xml:space="preserve"> Türkiye'de beklenebilecek meslek hastalığı sonucu ölüm tahminleri, 2017</w:t>
        </w:r>
        <w:r w:rsidR="00BF7B0A">
          <w:rPr>
            <w:noProof/>
            <w:webHidden/>
          </w:rPr>
          <w:tab/>
        </w:r>
        <w:r>
          <w:rPr>
            <w:noProof/>
            <w:webHidden/>
          </w:rPr>
          <w:fldChar w:fldCharType="begin"/>
        </w:r>
        <w:r w:rsidR="00BF7B0A">
          <w:rPr>
            <w:noProof/>
            <w:webHidden/>
          </w:rPr>
          <w:instrText xml:space="preserve"> PAGEREF _Toc536279471 \h </w:instrText>
        </w:r>
        <w:r>
          <w:rPr>
            <w:noProof/>
            <w:webHidden/>
          </w:rPr>
        </w:r>
        <w:r>
          <w:rPr>
            <w:noProof/>
            <w:webHidden/>
          </w:rPr>
          <w:fldChar w:fldCharType="separate"/>
        </w:r>
        <w:r w:rsidR="00A91BD3">
          <w:rPr>
            <w:noProof/>
            <w:webHidden/>
          </w:rPr>
          <w:t>19</w:t>
        </w:r>
        <w:r>
          <w:rPr>
            <w:noProof/>
            <w:webHidden/>
          </w:rPr>
          <w:fldChar w:fldCharType="end"/>
        </w:r>
      </w:hyperlink>
    </w:p>
    <w:p w:rsidR="00D65C41" w:rsidRPr="00CE4C4B" w:rsidRDefault="00085854" w:rsidP="00EA0316">
      <w:pPr>
        <w:pStyle w:val="ekillerTablosu"/>
        <w:tabs>
          <w:tab w:val="right" w:leader="dot" w:pos="9346"/>
        </w:tabs>
        <w:rPr>
          <w:rFonts w:eastAsiaTheme="minorEastAsia"/>
          <w:noProof/>
          <w:lang w:eastAsia="tr-TR"/>
        </w:rPr>
      </w:pPr>
      <w:r w:rsidRPr="00CE4C4B">
        <w:fldChar w:fldCharType="end"/>
      </w:r>
    </w:p>
    <w:p w:rsidR="00D65C41" w:rsidRPr="00CE4C4B" w:rsidRDefault="00D65C41" w:rsidP="00EA0316"/>
    <w:p w:rsidR="00A33065" w:rsidRDefault="00A33065">
      <w:r>
        <w:br w:type="page"/>
      </w:r>
    </w:p>
    <w:p w:rsidR="00EA0316" w:rsidRPr="00A91BD3" w:rsidRDefault="00A33065" w:rsidP="007B7069">
      <w:pPr>
        <w:pStyle w:val="Balk2"/>
      </w:pPr>
      <w:bookmarkStart w:id="0" w:name="_Toc536280772"/>
      <w:r w:rsidRPr="00A91BD3">
        <w:lastRenderedPageBreak/>
        <w:t>Gözden Geçirilmiş Rapor'a Önsöz</w:t>
      </w:r>
      <w:bookmarkEnd w:id="0"/>
    </w:p>
    <w:p w:rsidR="00A33065" w:rsidRPr="00A91BD3" w:rsidRDefault="009A39B8" w:rsidP="00EA0316">
      <w:r w:rsidRPr="00A91BD3">
        <w:t xml:space="preserve">SHD İşçi Sağlığı ve İş Güvenliği Raporu Soma Katliamı'nın ay dönümüne denk gelecek şekilde 13.12.2018 tarihinde kamuoyuyla paylaşıldı. Rapor'da incelenen verilerin değerlendirmesi konusunda hata yapılmaması için rapor sürecinde değişik kişilerle görüşüldü, görüş alındı. Bununla birlikte Rapor'un yayınlanmasından sonra yapılan bazı değerlendirmeleri göz önünde tutmanın yararlı olacağını gördük. </w:t>
      </w:r>
      <w:r w:rsidR="00BF7B0A" w:rsidRPr="00A91BD3">
        <w:t>Eleştiri ve d</w:t>
      </w:r>
      <w:r w:rsidRPr="00A91BD3">
        <w:t xml:space="preserve">eğerlendirmeleriyle katkı sunan arkadaşlarımıza teşekkür ediyoruz. </w:t>
      </w:r>
    </w:p>
    <w:p w:rsidR="009A39B8" w:rsidRPr="00A91BD3" w:rsidRDefault="009A39B8" w:rsidP="00EA0316">
      <w:r w:rsidRPr="00A91BD3">
        <w:t xml:space="preserve">Gözden geçirmenin odaklandığı konu </w:t>
      </w:r>
      <w:proofErr w:type="spellStart"/>
      <w:r w:rsidRPr="00A91BD3">
        <w:t>SGK'dan</w:t>
      </w:r>
      <w:proofErr w:type="spellEnd"/>
      <w:r w:rsidRPr="00A91BD3">
        <w:t xml:space="preserve"> ölüm geliri alanların yorumlanması</w:t>
      </w:r>
      <w:r w:rsidR="00F55F30" w:rsidRPr="00A91BD3">
        <w:t xml:space="preserve">na ilişkin bölümlerdir. </w:t>
      </w:r>
    </w:p>
    <w:p w:rsidR="00F55F30" w:rsidRPr="00A91BD3" w:rsidRDefault="00F55F30" w:rsidP="00EA0316">
      <w:r w:rsidRPr="00A91BD3">
        <w:t>Rapor'un emekçilerin işçi sağlığı ve iş güvenliği mücadelesine bir nebze olsun katkı sun</w:t>
      </w:r>
      <w:r w:rsidR="007B7069">
        <w:t>acağını</w:t>
      </w:r>
      <w:r w:rsidRPr="00A91BD3">
        <w:t xml:space="preserve"> umuyoruz. </w:t>
      </w:r>
    </w:p>
    <w:p w:rsidR="00F55F30" w:rsidRPr="00A91BD3" w:rsidRDefault="001B160E" w:rsidP="00EA0316">
      <w:r>
        <w:t>30</w:t>
      </w:r>
      <w:r w:rsidR="00A91BD3" w:rsidRPr="00A91BD3">
        <w:t xml:space="preserve"> </w:t>
      </w:r>
      <w:r w:rsidR="00F55F30" w:rsidRPr="00A91BD3">
        <w:t>Ocak 2019</w:t>
      </w:r>
    </w:p>
    <w:p w:rsidR="00D91D3E" w:rsidRPr="00CE4C4B" w:rsidRDefault="00D91D3E">
      <w:pPr>
        <w:rPr>
          <w:rFonts w:asciiTheme="majorHAnsi" w:eastAsiaTheme="majorEastAsia" w:hAnsiTheme="majorHAnsi" w:cstheme="majorBidi"/>
          <w:b/>
          <w:bCs/>
          <w:sz w:val="24"/>
          <w:szCs w:val="24"/>
        </w:rPr>
      </w:pPr>
      <w:r w:rsidRPr="00CE4C4B">
        <w:br w:type="page"/>
      </w:r>
    </w:p>
    <w:p w:rsidR="009F0F75" w:rsidRPr="004B287E" w:rsidRDefault="009F0F75" w:rsidP="009F0F75">
      <w:pPr>
        <w:jc w:val="right"/>
        <w:rPr>
          <w:i/>
        </w:rPr>
      </w:pPr>
      <w:r w:rsidRPr="004B287E">
        <w:rPr>
          <w:i/>
        </w:rPr>
        <w:lastRenderedPageBreak/>
        <w:t xml:space="preserve">"Bir insan, bir başkasına ölüme yol açan bedensel bir zarar verdiği zaman buna adam öldürme diyoruz; saldırgan, vereceği zararın öldürücü olduğunu önceden biliyorsa o zaman buna cinayet diyoruz. Ama toplum (toplumun egemen gücü, </w:t>
      </w:r>
      <w:proofErr w:type="gramStart"/>
      <w:r w:rsidRPr="004B287E">
        <w:rPr>
          <w:i/>
        </w:rPr>
        <w:t>halihazırda</w:t>
      </w:r>
      <w:proofErr w:type="gramEnd"/>
      <w:r w:rsidRPr="004B287E">
        <w:rPr>
          <w:i/>
        </w:rPr>
        <w:t xml:space="preserve"> sosyal ve siyasal denetimi elinde tutan, o nedenle de bu denetimde pay vermediklerinin durumundan sorumlu olan sınıf), yüzlerce proleteri, çok erken yaşta doğal olmayan bir ölümle yani kılıç ya da kurşunla ölüm gibi zorba yollardan ölümle karşı karşıya geleceği bir konuma koyduğu zaman, toplumun o yaptığı bir bireyin yaptığı gibi ve aynı kesinlikle cinayettir.</w:t>
      </w:r>
    </w:p>
    <w:p w:rsidR="009F0F75" w:rsidRPr="004B287E" w:rsidRDefault="009F0F75" w:rsidP="009F0F75">
      <w:pPr>
        <w:jc w:val="right"/>
        <w:rPr>
          <w:i/>
        </w:rPr>
      </w:pPr>
      <w:proofErr w:type="gramStart"/>
      <w:r w:rsidRPr="004B287E">
        <w:rPr>
          <w:i/>
        </w:rPr>
        <w:t xml:space="preserve">Toplum binlerce insanı yaşamın gereklerinden yoksun bıraktığı, içinde yaşayamayacakları konumlara soktuğu –kaçınılmaz sonuç olan ölüm gelinceye dek o koşullarda kalmaya yasanın güçlü eliyle zorladığı– bu binlerce mağdurun yok olacağını bildiği ve gene de bu koşulların sürmesine izin verdiği zaman, toplumun o yaptığı, bir bireyin yaptığı gibi ve aynı kesinlikte cinayettir; örtülü, kasıtlı cinayettir; hiç kimsenin kendisini savunamadığı bir cinayettir; kimse katili görmediği için, mağdurun ölümü doğal göründüğü için cinayet gibi olmayan cinayettir; çünkü suç bir şeyi yapmaktan çok yapmamanın sonucudur. </w:t>
      </w:r>
      <w:proofErr w:type="gramEnd"/>
      <w:r w:rsidRPr="004B287E">
        <w:rPr>
          <w:i/>
        </w:rPr>
        <w:t>Ama cinayettir.</w:t>
      </w:r>
    </w:p>
    <w:p w:rsidR="009F0F75" w:rsidRPr="004B287E" w:rsidRDefault="009F0F75" w:rsidP="009F0F75">
      <w:pPr>
        <w:jc w:val="right"/>
        <w:rPr>
          <w:i/>
        </w:rPr>
      </w:pPr>
      <w:r w:rsidRPr="004B287E">
        <w:rPr>
          <w:i/>
        </w:rPr>
        <w:t xml:space="preserve">Şimdi İngiltere’de emekçi örgütlerinin tam bir isabetle </w:t>
      </w:r>
      <w:r w:rsidRPr="004B287E">
        <w:rPr>
          <w:b/>
          <w:i/>
        </w:rPr>
        <w:t>toplumsal cinayet</w:t>
      </w:r>
      <w:r w:rsidRPr="004B287E">
        <w:rPr>
          <w:i/>
        </w:rPr>
        <w:t xml:space="preserve"> diye niteledikleri şeyi toplumun her gün, her saat yapageldiğini kanıtlamam gerekiyor. İşçileri, ne sağlıklarını korumalarına ne uzun yaşamalarına elvermeyen koşullar altında tuttuğunu kanıtlamam gerekiyor. O koşulların, işçilerin yaşamsal gücünü yavaş </w:t>
      </w:r>
      <w:proofErr w:type="spellStart"/>
      <w:r w:rsidRPr="004B287E">
        <w:rPr>
          <w:i/>
        </w:rPr>
        <w:t>yavaş</w:t>
      </w:r>
      <w:proofErr w:type="spellEnd"/>
      <w:r w:rsidRPr="004B287E">
        <w:rPr>
          <w:i/>
        </w:rPr>
        <w:t xml:space="preserve">, ucun </w:t>
      </w:r>
      <w:proofErr w:type="spellStart"/>
      <w:r w:rsidRPr="004B287E">
        <w:rPr>
          <w:i/>
        </w:rPr>
        <w:t>ucun</w:t>
      </w:r>
      <w:proofErr w:type="spellEnd"/>
      <w:r w:rsidRPr="004B287E">
        <w:rPr>
          <w:i/>
        </w:rPr>
        <w:t xml:space="preserve"> tahrip ettiğini ve zamanından önce onları mezara koşturduğunu kanıtlamam gerekiyor. " (</w:t>
      </w:r>
      <w:r w:rsidRPr="004B287E">
        <w:rPr>
          <w:b/>
          <w:i/>
        </w:rPr>
        <w:t>Engels</w:t>
      </w:r>
      <w:r w:rsidRPr="004B287E">
        <w:rPr>
          <w:i/>
        </w:rPr>
        <w:t>, 1845)</w:t>
      </w:r>
    </w:p>
    <w:p w:rsidR="000B19B4" w:rsidRPr="004B287E" w:rsidRDefault="000B19B4" w:rsidP="000B19B4">
      <w:pPr>
        <w:pStyle w:val="Balk2"/>
        <w:numPr>
          <w:ilvl w:val="0"/>
          <w:numId w:val="10"/>
        </w:numPr>
      </w:pPr>
      <w:bookmarkStart w:id="1" w:name="_Toc536280773"/>
      <w:r w:rsidRPr="004B287E">
        <w:t>Giriş</w:t>
      </w:r>
      <w:bookmarkEnd w:id="1"/>
    </w:p>
    <w:p w:rsidR="006743F1" w:rsidRPr="004B287E" w:rsidRDefault="006743F1" w:rsidP="00AE750A">
      <w:pPr>
        <w:ind w:firstLine="567"/>
        <w:jc w:val="both"/>
      </w:pPr>
      <w:r w:rsidRPr="004B287E">
        <w:t xml:space="preserve">Sosyal güvenlik hakları işçi sınıfı mücadelesiyle kazanılmış önemli haklardan birisidir. Kitlesel işçileşme dalgasının ortaya çıktığı 18. Yüzyıl sonlarından itibaren işçiler bir yandan </w:t>
      </w:r>
      <w:r w:rsidR="00FF1AD0" w:rsidRPr="004B287E">
        <w:t xml:space="preserve">sömürünün ortadan kaldırılması için mücadele ederken öte yandan </w:t>
      </w:r>
      <w:r w:rsidRPr="004B287E">
        <w:t xml:space="preserve">daha iyi ücretler, emeklilik hakları, daha kısa çalışma süreleri, sağlıklı ve güvenli çalışma ortamları için mücadele etmiştir. </w:t>
      </w:r>
      <w:r w:rsidR="00CB146F" w:rsidRPr="004B287E">
        <w:t xml:space="preserve"> Avrupa'da ve dünyanın bir</w:t>
      </w:r>
      <w:r w:rsidRPr="004B287E">
        <w:t xml:space="preserve">çok bölgesindeki demokratik haklar işçilerin mücadeleleriyle kazanılmıştır. </w:t>
      </w:r>
    </w:p>
    <w:p w:rsidR="00CB146F" w:rsidRPr="004B287E" w:rsidRDefault="00CB146F" w:rsidP="00AE750A">
      <w:pPr>
        <w:ind w:firstLine="567"/>
        <w:jc w:val="both"/>
      </w:pPr>
      <w:r w:rsidRPr="004B287E">
        <w:t xml:space="preserve">Sosyal haklar mücadelesini geliştirme çabasını 10 yılı aşkın zamandır sürdüren Sosyal Haklar Derneği </w:t>
      </w:r>
      <w:r w:rsidR="00840160" w:rsidRPr="004B287E">
        <w:t xml:space="preserve">2018 </w:t>
      </w:r>
      <w:r w:rsidRPr="004B287E">
        <w:t>Ekim ayında gerçekleştir</w:t>
      </w:r>
      <w:r w:rsidR="00840160" w:rsidRPr="004B287E">
        <w:t>ilen</w:t>
      </w:r>
      <w:r w:rsidRPr="004B287E">
        <w:t xml:space="preserve"> 7. Olağan Kongre'de emekçi hakları konusunda aşağıda belirtilen başlıklarda çalışmalar yapılması</w:t>
      </w:r>
      <w:r w:rsidR="00840160" w:rsidRPr="004B287E">
        <w:t>nı</w:t>
      </w:r>
      <w:r w:rsidRPr="004B287E">
        <w:t xml:space="preserve"> karar altına almıştır:</w:t>
      </w:r>
    </w:p>
    <w:p w:rsidR="00CB146F" w:rsidRPr="004B287E" w:rsidRDefault="00CB146F" w:rsidP="00AE750A">
      <w:pPr>
        <w:ind w:firstLine="567"/>
        <w:jc w:val="both"/>
      </w:pPr>
      <w:r w:rsidRPr="004B287E">
        <w:t xml:space="preserve">1) İşçi sağlığı ve iş güvenliği </w:t>
      </w:r>
    </w:p>
    <w:p w:rsidR="00CB146F" w:rsidRPr="004B287E" w:rsidRDefault="00B231CE" w:rsidP="00AE750A">
      <w:pPr>
        <w:ind w:firstLine="567"/>
        <w:jc w:val="both"/>
      </w:pPr>
      <w:r w:rsidRPr="004B287E">
        <w:t>2) Haftalık ç</w:t>
      </w:r>
      <w:r w:rsidR="00CB146F" w:rsidRPr="004B287E">
        <w:t xml:space="preserve">alışma </w:t>
      </w:r>
      <w:r w:rsidRPr="004B287E">
        <w:t>s</w:t>
      </w:r>
      <w:r w:rsidR="00CB146F" w:rsidRPr="004B287E">
        <w:t xml:space="preserve">ürelerinin kısaltılması </w:t>
      </w:r>
    </w:p>
    <w:p w:rsidR="00CB146F" w:rsidRPr="004B287E" w:rsidRDefault="00CB146F" w:rsidP="00AE750A">
      <w:pPr>
        <w:ind w:firstLine="567"/>
        <w:jc w:val="both"/>
      </w:pPr>
      <w:r w:rsidRPr="004B287E">
        <w:t>3) İşsizlik sigortasının kapsamı ve işsizlere faydalarının genişletilmesi</w:t>
      </w:r>
    </w:p>
    <w:p w:rsidR="00CB146F" w:rsidRPr="004B287E" w:rsidRDefault="00CB146F" w:rsidP="00AE750A">
      <w:pPr>
        <w:ind w:firstLine="567"/>
        <w:jc w:val="both"/>
      </w:pPr>
      <w:r w:rsidRPr="004B287E">
        <w:t>4) Emekçilerin genel hakları</w:t>
      </w:r>
    </w:p>
    <w:p w:rsidR="00CB146F" w:rsidRPr="004B287E" w:rsidRDefault="00CB146F" w:rsidP="00AE750A">
      <w:pPr>
        <w:ind w:firstLine="567"/>
        <w:jc w:val="both"/>
      </w:pPr>
      <w:r w:rsidRPr="004B287E">
        <w:t xml:space="preserve">Sosyal Haklar Derneği bu doğrultuda emek ve meslek örgütleri öncülüğünde </w:t>
      </w:r>
      <w:r w:rsidR="0007416B" w:rsidRPr="004B287E">
        <w:t xml:space="preserve">"Krize Karşı Emeğin Haklarını Savunmak İçin Omuz Omuza" </w:t>
      </w:r>
      <w:r w:rsidR="005E618E" w:rsidRPr="004B287E">
        <w:t>sloganıyla</w:t>
      </w:r>
      <w:r w:rsidR="0007416B" w:rsidRPr="004B287E">
        <w:t xml:space="preserve"> sürdürülen mücadelenin bir bileşeni olmuştur. </w:t>
      </w:r>
    </w:p>
    <w:p w:rsidR="00B231CE" w:rsidRPr="004B287E" w:rsidRDefault="00CE4C4B" w:rsidP="00AE750A">
      <w:pPr>
        <w:ind w:firstLine="567"/>
        <w:jc w:val="both"/>
      </w:pPr>
      <w:r w:rsidRPr="004B287E">
        <w:t>Bu rapor i</w:t>
      </w:r>
      <w:r w:rsidR="00B231CE" w:rsidRPr="004B287E">
        <w:t xml:space="preserve">şçi sağlığı ve iş güvenliği çalışmalarının parçası olarak hazırlanmıştır. </w:t>
      </w:r>
    </w:p>
    <w:p w:rsidR="0007416B" w:rsidRPr="004B287E" w:rsidRDefault="0007416B" w:rsidP="00AE750A">
      <w:pPr>
        <w:ind w:firstLine="567"/>
        <w:jc w:val="both"/>
      </w:pPr>
      <w:r w:rsidRPr="004B287E">
        <w:t xml:space="preserve">Türkiye'de emekçilerin önemli sorunlarından birisi sosyal güvenlik sistemidir. Sermayenin ve iktidarların uzun yıllardır süren saldırısı emeklilik yaşının artmasına, emeklilik maaşlarının düşmesine, sağlık hizmetlerinin özelleştirilmesine, iş kazaları ve meslek hastalıklarının tespit ve tazmin edilmemesine </w:t>
      </w:r>
      <w:r w:rsidRPr="004B287E">
        <w:lastRenderedPageBreak/>
        <w:t xml:space="preserve">yol açmaktadır. Emekçiler, gelişen bilim ve teknolojinin sağladığı daha sağlıklı ve güvenli, daha kısa çalışma süreleri olanaklarından yararlanamamaktadır. </w:t>
      </w:r>
    </w:p>
    <w:p w:rsidR="0007416B" w:rsidRPr="004B287E" w:rsidRDefault="0007416B" w:rsidP="00AE750A">
      <w:pPr>
        <w:ind w:firstLine="567"/>
        <w:jc w:val="both"/>
      </w:pPr>
      <w:r w:rsidRPr="004B287E">
        <w:t xml:space="preserve">Bu raporda ülkemizdeki sosyal güvenlik sistemi, özellikle iş kazaları ve meslek hastalıkları boyutlarıyla değerlendirilecektir. Değerlendirmede kullanılan temel kaynak Sosyal Güvenlik Kurumu'nun yayınladığı yıllık istatistiklerdir. Ancak </w:t>
      </w:r>
      <w:proofErr w:type="spellStart"/>
      <w:r w:rsidRPr="004B287E">
        <w:t>SGK'nın</w:t>
      </w:r>
      <w:proofErr w:type="spellEnd"/>
      <w:r w:rsidRPr="004B287E">
        <w:t xml:space="preserve"> verileri, İşçi Sağlığı ve İş</w:t>
      </w:r>
      <w:bookmarkStart w:id="2" w:name="_GoBack"/>
      <w:bookmarkEnd w:id="2"/>
      <w:r w:rsidRPr="004B287E">
        <w:t xml:space="preserve"> Güvenliği Mec</w:t>
      </w:r>
      <w:r w:rsidR="00FF1AD0" w:rsidRPr="004B287E">
        <w:t>lisi'nin alternatif verileriyle ve</w:t>
      </w:r>
      <w:r w:rsidRPr="004B287E">
        <w:t xml:space="preserve"> uluslararası örneklerle </w:t>
      </w:r>
      <w:r w:rsidR="00C67E60" w:rsidRPr="004B287E">
        <w:t xml:space="preserve">de </w:t>
      </w:r>
      <w:r w:rsidRPr="004B287E">
        <w:t>karşılaştırıla</w:t>
      </w:r>
      <w:r w:rsidR="00C67E60" w:rsidRPr="004B287E">
        <w:t xml:space="preserve">rak daha net bir görüntü ortaya çıkarılması hedeflenecektir. </w:t>
      </w:r>
    </w:p>
    <w:p w:rsidR="00360A6F" w:rsidRPr="004B287E" w:rsidRDefault="007A39A9" w:rsidP="00360A6F">
      <w:pPr>
        <w:pStyle w:val="Balk2"/>
        <w:numPr>
          <w:ilvl w:val="0"/>
          <w:numId w:val="10"/>
        </w:numPr>
      </w:pPr>
      <w:bookmarkStart w:id="3" w:name="_Toc536280774"/>
      <w:r w:rsidRPr="004B287E">
        <w:t>İşçi Sağlığı ve İş Güvenliğini Etkileyen Faktörler</w:t>
      </w:r>
      <w:bookmarkEnd w:id="3"/>
      <w:r w:rsidR="00360A6F" w:rsidRPr="004B287E">
        <w:t xml:space="preserve"> </w:t>
      </w:r>
    </w:p>
    <w:p w:rsidR="00360A6F" w:rsidRPr="004B287E" w:rsidRDefault="00360A6F" w:rsidP="00360A6F">
      <w:pPr>
        <w:ind w:firstLine="501"/>
        <w:jc w:val="both"/>
      </w:pPr>
      <w:r w:rsidRPr="004B287E">
        <w:t>İşçi sağlığı ve iş güvenliği sadece işyeri</w:t>
      </w:r>
      <w:r w:rsidR="00BD45B2" w:rsidRPr="004B287E">
        <w:t xml:space="preserve"> düzeyinde</w:t>
      </w:r>
      <w:r w:rsidRPr="004B287E">
        <w:t xml:space="preserve"> yaşanan teknik veya tıbbi bir </w:t>
      </w:r>
      <w:r w:rsidR="00BD45B2" w:rsidRPr="004B287E">
        <w:t>mesele</w:t>
      </w:r>
      <w:r w:rsidRPr="004B287E">
        <w:t xml:space="preserve"> değildir. Faktörlerden </w:t>
      </w:r>
      <w:proofErr w:type="spellStart"/>
      <w:r w:rsidRPr="004B287E">
        <w:t>başlıcaları</w:t>
      </w:r>
      <w:proofErr w:type="spellEnd"/>
      <w:r w:rsidRPr="004B287E">
        <w:t xml:space="preserve"> aşağıda sunulmaktadır:</w:t>
      </w:r>
    </w:p>
    <w:p w:rsidR="00360A6F" w:rsidRPr="004B287E" w:rsidRDefault="00360A6F" w:rsidP="00EF6EBA">
      <w:pPr>
        <w:pStyle w:val="ListeParagraf"/>
        <w:numPr>
          <w:ilvl w:val="0"/>
          <w:numId w:val="5"/>
        </w:numPr>
        <w:spacing w:before="120" w:after="0" w:line="240" w:lineRule="auto"/>
        <w:ind w:left="283" w:hanging="215"/>
        <w:contextualSpacing w:val="0"/>
        <w:jc w:val="both"/>
      </w:pPr>
      <w:r w:rsidRPr="004B287E">
        <w:t>Dünya genelindeki eşitsiz ilişkiler nedeniyle tehlikeli ve kirli endüstrilerin nispeten daha yoksul olan bağımlı ülkelere taşınması nedeniyle merkez kapitalist ülkelerde şartlar nispeten iyileşirken bağımlı ülkelerde kötüleşmektedir.</w:t>
      </w:r>
    </w:p>
    <w:p w:rsidR="00360A6F" w:rsidRPr="004B287E" w:rsidRDefault="00360A6F" w:rsidP="00EF6EBA">
      <w:pPr>
        <w:pStyle w:val="ListeParagraf"/>
        <w:numPr>
          <w:ilvl w:val="0"/>
          <w:numId w:val="5"/>
        </w:numPr>
        <w:spacing w:before="120" w:after="0" w:line="240" w:lineRule="auto"/>
        <w:ind w:left="283" w:hanging="215"/>
        <w:contextualSpacing w:val="0"/>
        <w:jc w:val="both"/>
      </w:pPr>
      <w:r w:rsidRPr="004B287E">
        <w:t xml:space="preserve">Bilim ve teknolojideki ilerlemelere eşlik eden uluslararası düzenlemeler ve standartlardaki gelişmelerin etkisiyle bazı ülkelerdeki sağlık ve güvenlik şartlarında nispi iyileşme sağlanabilirken, bazı ülkeler bu olanaklardan yararlanamamaktadır.  </w:t>
      </w:r>
    </w:p>
    <w:p w:rsidR="00360A6F" w:rsidRPr="004B287E" w:rsidRDefault="00360A6F" w:rsidP="00EF6EBA">
      <w:pPr>
        <w:pStyle w:val="ListeParagraf"/>
        <w:numPr>
          <w:ilvl w:val="0"/>
          <w:numId w:val="5"/>
        </w:numPr>
        <w:spacing w:before="120" w:after="0" w:line="240" w:lineRule="auto"/>
        <w:ind w:left="283" w:hanging="215"/>
        <w:contextualSpacing w:val="0"/>
        <w:jc w:val="both"/>
      </w:pPr>
      <w:r w:rsidRPr="004B287E">
        <w:t>Teknolojideki gelişmelerin etkisiyle dünya genelinde çalışanların giderek daha büyük kısmının tarım ve sanayiden hizmetler sektörüne kayması nedeniyle ölümcül iş kazası ihtimalinin azalmasına karşın meslek hastalığı etkenleri artmaya devam etmektedir.</w:t>
      </w:r>
    </w:p>
    <w:p w:rsidR="00360A6F" w:rsidRPr="004B287E" w:rsidRDefault="00360A6F" w:rsidP="00EF6EBA">
      <w:pPr>
        <w:pStyle w:val="ListeParagraf"/>
        <w:numPr>
          <w:ilvl w:val="0"/>
          <w:numId w:val="5"/>
        </w:numPr>
        <w:spacing w:before="120" w:after="0" w:line="240" w:lineRule="auto"/>
        <w:ind w:left="283" w:hanging="215"/>
        <w:contextualSpacing w:val="0"/>
        <w:jc w:val="both"/>
      </w:pPr>
      <w:r w:rsidRPr="004B287E">
        <w:t xml:space="preserve">Dünya genelinde bağımsız üreticilerin azalarak işçileşmenin artışına yol açan toplumsal/iktisadi şartlar daha fazla insanı tahakküm altında çalışmayla </w:t>
      </w:r>
      <w:proofErr w:type="spellStart"/>
      <w:r w:rsidRPr="004B287E">
        <w:t>yüzyüze</w:t>
      </w:r>
      <w:proofErr w:type="spellEnd"/>
      <w:r w:rsidRPr="004B287E">
        <w:t xml:space="preserve"> bırakmaktadır. </w:t>
      </w:r>
    </w:p>
    <w:p w:rsidR="00360A6F" w:rsidRPr="004B287E" w:rsidRDefault="00360A6F" w:rsidP="00EF6EBA">
      <w:pPr>
        <w:pStyle w:val="ListeParagraf"/>
        <w:numPr>
          <w:ilvl w:val="0"/>
          <w:numId w:val="5"/>
        </w:numPr>
        <w:spacing w:before="120" w:after="0" w:line="240" w:lineRule="auto"/>
        <w:ind w:left="283" w:hanging="215"/>
        <w:contextualSpacing w:val="0"/>
        <w:jc w:val="both"/>
      </w:pPr>
      <w:r w:rsidRPr="004B287E">
        <w:t>Ülkeler düzeyinde işsizliğin ve güvencesiz çalışmaların</w:t>
      </w:r>
      <w:r w:rsidR="00EF6EBA" w:rsidRPr="004B287E">
        <w:t xml:space="preserve"> (örn. taşeronlaşma, geçici çalışma biçimleri, esnek çalışma biçimleri)</w:t>
      </w:r>
      <w:r w:rsidRPr="004B287E">
        <w:t xml:space="preserve"> artması nedeniyle işçilerin bireysel hak arama olanakları zayıflamıştır.</w:t>
      </w:r>
    </w:p>
    <w:p w:rsidR="00360A6F" w:rsidRPr="004B287E" w:rsidRDefault="00360A6F" w:rsidP="00EF6EBA">
      <w:pPr>
        <w:pStyle w:val="ListeParagraf"/>
        <w:numPr>
          <w:ilvl w:val="0"/>
          <w:numId w:val="5"/>
        </w:numPr>
        <w:spacing w:before="120" w:after="0" w:line="240" w:lineRule="auto"/>
        <w:ind w:left="283" w:hanging="215"/>
        <w:contextualSpacing w:val="0"/>
        <w:jc w:val="both"/>
      </w:pPr>
      <w:r w:rsidRPr="004B287E">
        <w:t xml:space="preserve">Çocuk işçiliği devam etmekte ve çocukların sağlığına zarar vermektedir. </w:t>
      </w:r>
    </w:p>
    <w:p w:rsidR="00360A6F" w:rsidRPr="004B287E" w:rsidRDefault="00360A6F" w:rsidP="00EF6EBA">
      <w:pPr>
        <w:pStyle w:val="ListeParagraf"/>
        <w:numPr>
          <w:ilvl w:val="0"/>
          <w:numId w:val="5"/>
        </w:numPr>
        <w:spacing w:before="120" w:after="0" w:line="240" w:lineRule="auto"/>
        <w:ind w:left="283" w:hanging="215"/>
        <w:contextualSpacing w:val="0"/>
        <w:jc w:val="both"/>
      </w:pPr>
      <w:r w:rsidRPr="004B287E">
        <w:t xml:space="preserve">Cinsiyet eşitsizliği kadınların erkek emekçilerden daha da güvencesiz olarak, daha düşük ücretlerle, daha korunmasız şekillerde çalışmak zorunda kalmalarına yol açmaktadır. </w:t>
      </w:r>
    </w:p>
    <w:p w:rsidR="00360A6F" w:rsidRPr="004B287E" w:rsidRDefault="00360A6F" w:rsidP="00EF6EBA">
      <w:pPr>
        <w:pStyle w:val="ListeParagraf"/>
        <w:numPr>
          <w:ilvl w:val="0"/>
          <w:numId w:val="5"/>
        </w:numPr>
        <w:spacing w:before="120" w:after="0" w:line="240" w:lineRule="auto"/>
        <w:ind w:left="283" w:hanging="215"/>
        <w:contextualSpacing w:val="0"/>
        <w:jc w:val="both"/>
      </w:pPr>
      <w:r w:rsidRPr="004B287E">
        <w:t xml:space="preserve">Emekçilerin toplu hak arama olanakları, iktidar ve işveren baskılarıyla sendikaların ve ilerici toplumsal güçlerin zayıflaması nedeniyle, azalmıştır. </w:t>
      </w:r>
    </w:p>
    <w:p w:rsidR="000134D7" w:rsidRPr="004B287E" w:rsidRDefault="00EA0316" w:rsidP="00E52945">
      <w:pPr>
        <w:pStyle w:val="Balk2"/>
        <w:numPr>
          <w:ilvl w:val="0"/>
          <w:numId w:val="10"/>
        </w:numPr>
        <w:spacing w:before="240"/>
        <w:ind w:left="714" w:hanging="357"/>
      </w:pPr>
      <w:bookmarkStart w:id="4" w:name="_Toc536280775"/>
      <w:r w:rsidRPr="004B287E">
        <w:t>İş Kazası ve Meslek Hastalığı İstatistikleri</w:t>
      </w:r>
      <w:bookmarkEnd w:id="4"/>
    </w:p>
    <w:p w:rsidR="00C67E60" w:rsidRPr="004B287E" w:rsidRDefault="00C67E60" w:rsidP="00A6168D">
      <w:pPr>
        <w:pStyle w:val="Balk3"/>
        <w:numPr>
          <w:ilvl w:val="1"/>
          <w:numId w:val="10"/>
        </w:numPr>
      </w:pPr>
      <w:bookmarkStart w:id="5" w:name="_Toc536280776"/>
      <w:r w:rsidRPr="004B287E">
        <w:t>Sosyal Güvenlik Kurumu (SGK) Verileri Hakkında</w:t>
      </w:r>
      <w:bookmarkEnd w:id="5"/>
    </w:p>
    <w:p w:rsidR="00FF1AD0" w:rsidRPr="004B287E" w:rsidRDefault="00FF1AD0" w:rsidP="00AE750A">
      <w:pPr>
        <w:ind w:firstLine="567"/>
        <w:jc w:val="both"/>
      </w:pPr>
      <w:r w:rsidRPr="004B287E">
        <w:t>Türkiye’de iş kazaları ve meslek hastalıklarının resmi olarak kayıtlarını tuta</w:t>
      </w:r>
      <w:r w:rsidR="00623320" w:rsidRPr="004B287E">
        <w:t>n</w:t>
      </w:r>
      <w:r w:rsidRPr="004B287E">
        <w:t xml:space="preserve"> kurum </w:t>
      </w:r>
      <w:proofErr w:type="spellStart"/>
      <w:r w:rsidRPr="004B287E">
        <w:t>SGK’dır</w:t>
      </w:r>
      <w:proofErr w:type="spellEnd"/>
      <w:r w:rsidRPr="004B287E">
        <w:t xml:space="preserve">. 5510 sayılı Sosyal Sigortalar ve Genel Sağlık Sigortası Kanunu’na (SSGSS) göre </w:t>
      </w:r>
      <w:r w:rsidR="007A39A9" w:rsidRPr="004B287E">
        <w:t xml:space="preserve">işçiler ve bağımsız çalışanların geçirdiği iş kazası veya meslek hastalıkları olayın olmasından, işveren tarafından öğrenilmesinden veya teşhis konulmasından </w:t>
      </w:r>
      <w:r w:rsidRPr="004B287E">
        <w:t xml:space="preserve">sonraki 3 iş günü içinde </w:t>
      </w:r>
      <w:proofErr w:type="spellStart"/>
      <w:r w:rsidRPr="004B287E">
        <w:t>SGK’ya</w:t>
      </w:r>
      <w:proofErr w:type="spellEnd"/>
      <w:r w:rsidRPr="004B287E">
        <w:t xml:space="preserve"> bildir</w:t>
      </w:r>
      <w:r w:rsidR="007A39A9" w:rsidRPr="004B287E">
        <w:t>ilmek zorundadır</w:t>
      </w:r>
      <w:r w:rsidRPr="004B287E">
        <w:t xml:space="preserve">. Söz konusu veriler SGK (2007 öncesinde SSK) tarafından </w:t>
      </w:r>
      <w:r w:rsidR="007A39A9" w:rsidRPr="004B287E">
        <w:t xml:space="preserve">yıllık istatistikler olarak </w:t>
      </w:r>
      <w:r w:rsidRPr="004B287E">
        <w:t xml:space="preserve">yayınlanmaktadır. Verilerin iş kazaları ve meslek hastalıkları açısından yaş, cinsiyet, işyeri büyüklüğü, meslek, faaliyet alanı gibi birçok açıdan resmi kurumlar ile konunun diğer taraflarına yol gösterici olması beklenmektedir. </w:t>
      </w:r>
    </w:p>
    <w:p w:rsidR="001A6BE7" w:rsidRPr="004B287E" w:rsidRDefault="00C67E60" w:rsidP="00AE750A">
      <w:pPr>
        <w:ind w:firstLine="567"/>
        <w:jc w:val="both"/>
      </w:pPr>
      <w:r w:rsidRPr="004B287E">
        <w:t xml:space="preserve">SGK her yılın sonuna doğru bir önceki yıl için istatistikler yayınlamaktadır. Yayınlanan veriler işyeri ve sigortalılar, aylık ve gelir alanlar, iş kazası ve meslek hastalığı, hastalık istatistikleri bölümlerinden oluşmaktadır. </w:t>
      </w:r>
      <w:r w:rsidR="001A6BE7" w:rsidRPr="004B287E">
        <w:t xml:space="preserve">Sosyal Güvenlik Kurumu 2017 yılına ait istatistiksel verileri 10 Kasım 2018 tarihinde </w:t>
      </w:r>
      <w:r w:rsidR="001A6BE7" w:rsidRPr="004B287E">
        <w:lastRenderedPageBreak/>
        <w:t>yayınla</w:t>
      </w:r>
      <w:r w:rsidRPr="004B287E">
        <w:t>mıştır</w:t>
      </w:r>
      <w:r w:rsidR="001A6BE7" w:rsidRPr="004B287E">
        <w:t xml:space="preserve">. </w:t>
      </w:r>
      <w:r w:rsidR="009E3E24" w:rsidRPr="004B287E">
        <w:t>Türkiye'de kayıt</w:t>
      </w:r>
      <w:r w:rsidR="00F11181" w:rsidRPr="004B287E">
        <w:t xml:space="preserve"> </w:t>
      </w:r>
      <w:r w:rsidR="009E3E24" w:rsidRPr="004B287E">
        <w:t xml:space="preserve">dışı çalışmanın yaygın olduğu (TÜİK 2017 Aralık verilerine göre %33,3), sigortaların eksik ve düşük ücret üzerinden gösterildiği, iş kazaları ve meslek hastalıklarının tespitinde önemli sorunlar olduğu bilinmektedir. Bununla birlikte SGK istatistiklerinin incelenmesi hem önceki yıllarla bir karşılaştırma </w:t>
      </w:r>
      <w:r w:rsidR="00AC25D6" w:rsidRPr="004B287E">
        <w:t xml:space="preserve">olanağı </w:t>
      </w:r>
      <w:r w:rsidR="009E3E24" w:rsidRPr="004B287E">
        <w:t xml:space="preserve">sunmakta, hem de bazı konularda yararlı bilgi sunabilmektedir. </w:t>
      </w:r>
    </w:p>
    <w:p w:rsidR="003528FB" w:rsidRPr="004B287E" w:rsidRDefault="00B52DAE" w:rsidP="00A6168D">
      <w:pPr>
        <w:pStyle w:val="Balk3"/>
        <w:numPr>
          <w:ilvl w:val="1"/>
          <w:numId w:val="10"/>
        </w:numPr>
      </w:pPr>
      <w:bookmarkStart w:id="6" w:name="_Toc536280777"/>
      <w:r w:rsidRPr="004B287E">
        <w:t>Sigortalılar Hakkında Genel Bilgiler</w:t>
      </w:r>
      <w:bookmarkEnd w:id="6"/>
    </w:p>
    <w:p w:rsidR="0037309B" w:rsidRPr="004B287E" w:rsidRDefault="0037309B" w:rsidP="00D65C41">
      <w:pPr>
        <w:pStyle w:val="TabloBal"/>
        <w:rPr>
          <w:b/>
          <w:color w:val="auto"/>
        </w:rPr>
      </w:pPr>
      <w:bookmarkStart w:id="7" w:name="_Toc536279459"/>
      <w:r w:rsidRPr="004B287E">
        <w:rPr>
          <w:b/>
          <w:color w:val="auto"/>
        </w:rPr>
        <w:t>Tablo-</w:t>
      </w:r>
      <w:r w:rsidR="005011BA" w:rsidRPr="004B287E">
        <w:rPr>
          <w:b/>
          <w:color w:val="auto"/>
        </w:rPr>
        <w:t>1</w:t>
      </w:r>
      <w:r w:rsidRPr="004B287E">
        <w:rPr>
          <w:b/>
          <w:color w:val="auto"/>
        </w:rPr>
        <w:t xml:space="preserve">: </w:t>
      </w:r>
      <w:r w:rsidRPr="004B287E">
        <w:rPr>
          <w:color w:val="auto"/>
        </w:rPr>
        <w:t>Türkiye</w:t>
      </w:r>
      <w:r w:rsidRPr="004B287E">
        <w:rPr>
          <w:b/>
          <w:color w:val="auto"/>
        </w:rPr>
        <w:t xml:space="preserve"> </w:t>
      </w:r>
      <w:r w:rsidRPr="004B287E">
        <w:rPr>
          <w:color w:val="auto"/>
        </w:rPr>
        <w:t>Sosyal Güvenlik Kapsamı, 2010-2017</w:t>
      </w:r>
      <w:bookmarkEnd w:id="7"/>
    </w:p>
    <w:tbl>
      <w:tblPr>
        <w:tblStyle w:val="TabloKlavuzu"/>
        <w:tblW w:w="0" w:type="auto"/>
        <w:tblInd w:w="108" w:type="dxa"/>
        <w:tblLook w:val="04A0"/>
      </w:tblPr>
      <w:tblGrid>
        <w:gridCol w:w="2943"/>
        <w:gridCol w:w="1220"/>
        <w:gridCol w:w="1220"/>
        <w:gridCol w:w="1220"/>
        <w:gridCol w:w="1220"/>
        <w:gridCol w:w="1391"/>
      </w:tblGrid>
      <w:tr w:rsidR="00CE4C4B" w:rsidRPr="004B287E" w:rsidTr="00EF6EBA">
        <w:tc>
          <w:tcPr>
            <w:tcW w:w="2943" w:type="dxa"/>
          </w:tcPr>
          <w:p w:rsidR="0037309B" w:rsidRPr="004B287E" w:rsidRDefault="0037309B" w:rsidP="009F0F75">
            <w:pPr>
              <w:rPr>
                <w:rFonts w:cstheme="minorHAnsi"/>
              </w:rPr>
            </w:pPr>
          </w:p>
        </w:tc>
        <w:tc>
          <w:tcPr>
            <w:tcW w:w="1220" w:type="dxa"/>
            <w:vAlign w:val="center"/>
          </w:tcPr>
          <w:p w:rsidR="0037309B" w:rsidRPr="004B287E" w:rsidRDefault="0037309B" w:rsidP="00EF6EBA">
            <w:pPr>
              <w:jc w:val="center"/>
              <w:rPr>
                <w:rFonts w:cstheme="minorHAnsi"/>
                <w:b/>
              </w:rPr>
            </w:pPr>
            <w:r w:rsidRPr="004B287E">
              <w:rPr>
                <w:rFonts w:cstheme="minorHAnsi"/>
                <w:b/>
              </w:rPr>
              <w:t>2010</w:t>
            </w:r>
          </w:p>
        </w:tc>
        <w:tc>
          <w:tcPr>
            <w:tcW w:w="1220" w:type="dxa"/>
            <w:vAlign w:val="center"/>
          </w:tcPr>
          <w:p w:rsidR="0037309B" w:rsidRPr="004B287E" w:rsidRDefault="0037309B" w:rsidP="00EF6EBA">
            <w:pPr>
              <w:jc w:val="center"/>
              <w:rPr>
                <w:rFonts w:cstheme="minorHAnsi"/>
                <w:b/>
              </w:rPr>
            </w:pPr>
            <w:r w:rsidRPr="004B287E">
              <w:rPr>
                <w:rFonts w:cstheme="minorHAnsi"/>
                <w:b/>
              </w:rPr>
              <w:t>2015</w:t>
            </w:r>
          </w:p>
        </w:tc>
        <w:tc>
          <w:tcPr>
            <w:tcW w:w="1220" w:type="dxa"/>
            <w:vAlign w:val="center"/>
          </w:tcPr>
          <w:p w:rsidR="0037309B" w:rsidRPr="004B287E" w:rsidRDefault="0037309B" w:rsidP="00EF6EBA">
            <w:pPr>
              <w:jc w:val="center"/>
              <w:rPr>
                <w:rFonts w:cstheme="minorHAnsi"/>
                <w:b/>
              </w:rPr>
            </w:pPr>
            <w:r w:rsidRPr="004B287E">
              <w:rPr>
                <w:rFonts w:cstheme="minorHAnsi"/>
                <w:b/>
              </w:rPr>
              <w:t>2016</w:t>
            </w:r>
          </w:p>
        </w:tc>
        <w:tc>
          <w:tcPr>
            <w:tcW w:w="1220" w:type="dxa"/>
            <w:vAlign w:val="center"/>
          </w:tcPr>
          <w:p w:rsidR="0037309B" w:rsidRPr="004B287E" w:rsidRDefault="0037309B" w:rsidP="00EF6EBA">
            <w:pPr>
              <w:jc w:val="center"/>
              <w:rPr>
                <w:rFonts w:cstheme="minorHAnsi"/>
                <w:b/>
              </w:rPr>
            </w:pPr>
            <w:r w:rsidRPr="004B287E">
              <w:rPr>
                <w:rFonts w:cstheme="minorHAnsi"/>
                <w:b/>
              </w:rPr>
              <w:t>2017</w:t>
            </w:r>
          </w:p>
        </w:tc>
        <w:tc>
          <w:tcPr>
            <w:tcW w:w="1391" w:type="dxa"/>
            <w:vAlign w:val="center"/>
          </w:tcPr>
          <w:p w:rsidR="0037309B" w:rsidRPr="004B287E" w:rsidRDefault="00FF1AD0" w:rsidP="00EF6EBA">
            <w:pPr>
              <w:jc w:val="center"/>
              <w:rPr>
                <w:rFonts w:cstheme="minorHAnsi"/>
                <w:b/>
              </w:rPr>
            </w:pPr>
            <w:r w:rsidRPr="004B287E">
              <w:rPr>
                <w:rFonts w:cstheme="minorHAnsi"/>
                <w:b/>
              </w:rPr>
              <w:t>2016-</w:t>
            </w:r>
            <w:r w:rsidR="0037309B" w:rsidRPr="004B287E">
              <w:rPr>
                <w:rFonts w:cstheme="minorHAnsi"/>
                <w:b/>
              </w:rPr>
              <w:t>2017 Değişim (%)</w:t>
            </w:r>
          </w:p>
        </w:tc>
      </w:tr>
      <w:tr w:rsidR="00CE4C4B" w:rsidRPr="004B287E" w:rsidTr="00EF6EBA">
        <w:tc>
          <w:tcPr>
            <w:tcW w:w="2943" w:type="dxa"/>
          </w:tcPr>
          <w:p w:rsidR="0037309B" w:rsidRPr="004B287E" w:rsidRDefault="0037309B" w:rsidP="009F0F75">
            <w:pPr>
              <w:rPr>
                <w:rFonts w:cstheme="minorHAnsi"/>
              </w:rPr>
            </w:pPr>
            <w:r w:rsidRPr="004B287E">
              <w:rPr>
                <w:rFonts w:cstheme="minorHAnsi"/>
              </w:rPr>
              <w:t>Türkiye Nüfusu (TÜİK ADNKS)</w:t>
            </w:r>
          </w:p>
        </w:tc>
        <w:tc>
          <w:tcPr>
            <w:tcW w:w="1220" w:type="dxa"/>
            <w:vAlign w:val="center"/>
          </w:tcPr>
          <w:p w:rsidR="0037309B" w:rsidRPr="004B287E" w:rsidRDefault="0037309B" w:rsidP="009F0F75">
            <w:pPr>
              <w:jc w:val="right"/>
              <w:rPr>
                <w:rFonts w:cstheme="minorHAnsi"/>
                <w:bCs/>
              </w:rPr>
            </w:pPr>
            <w:r w:rsidRPr="004B287E">
              <w:rPr>
                <w:rFonts w:cstheme="minorHAnsi"/>
                <w:bCs/>
              </w:rPr>
              <w:t>73.722.988</w:t>
            </w:r>
          </w:p>
        </w:tc>
        <w:tc>
          <w:tcPr>
            <w:tcW w:w="1220" w:type="dxa"/>
            <w:vAlign w:val="center"/>
          </w:tcPr>
          <w:p w:rsidR="0037309B" w:rsidRPr="004B287E" w:rsidRDefault="0037309B" w:rsidP="009F0F75">
            <w:pPr>
              <w:jc w:val="right"/>
              <w:rPr>
                <w:rFonts w:cstheme="minorHAnsi"/>
                <w:bCs/>
              </w:rPr>
            </w:pPr>
            <w:r w:rsidRPr="004B287E">
              <w:rPr>
                <w:rFonts w:cstheme="minorHAnsi"/>
                <w:bCs/>
              </w:rPr>
              <w:t>78.741.053</w:t>
            </w:r>
          </w:p>
        </w:tc>
        <w:tc>
          <w:tcPr>
            <w:tcW w:w="1220" w:type="dxa"/>
            <w:vAlign w:val="center"/>
          </w:tcPr>
          <w:p w:rsidR="0037309B" w:rsidRPr="004B287E" w:rsidRDefault="0037309B" w:rsidP="009F0F75">
            <w:pPr>
              <w:jc w:val="right"/>
              <w:rPr>
                <w:rFonts w:cstheme="minorHAnsi"/>
                <w:bCs/>
              </w:rPr>
            </w:pPr>
            <w:r w:rsidRPr="004B287E">
              <w:rPr>
                <w:rFonts w:cstheme="minorHAnsi"/>
                <w:bCs/>
              </w:rPr>
              <w:t>79.814.871</w:t>
            </w:r>
          </w:p>
        </w:tc>
        <w:tc>
          <w:tcPr>
            <w:tcW w:w="1220" w:type="dxa"/>
            <w:vAlign w:val="center"/>
          </w:tcPr>
          <w:p w:rsidR="0037309B" w:rsidRPr="004B287E" w:rsidRDefault="0037309B" w:rsidP="009F0F75">
            <w:pPr>
              <w:jc w:val="right"/>
              <w:rPr>
                <w:rFonts w:cstheme="minorHAnsi"/>
                <w:bCs/>
              </w:rPr>
            </w:pPr>
            <w:r w:rsidRPr="004B287E">
              <w:rPr>
                <w:rFonts w:cstheme="minorHAnsi"/>
                <w:bCs/>
              </w:rPr>
              <w:t>80.810.525</w:t>
            </w:r>
          </w:p>
        </w:tc>
        <w:tc>
          <w:tcPr>
            <w:tcW w:w="1391" w:type="dxa"/>
            <w:vAlign w:val="center"/>
          </w:tcPr>
          <w:p w:rsidR="0037309B" w:rsidRPr="004B287E" w:rsidRDefault="0037309B" w:rsidP="009F0F75">
            <w:pPr>
              <w:jc w:val="center"/>
              <w:rPr>
                <w:rFonts w:cstheme="minorHAnsi"/>
                <w:bCs/>
              </w:rPr>
            </w:pPr>
            <w:r w:rsidRPr="004B287E">
              <w:rPr>
                <w:rFonts w:cstheme="minorHAnsi"/>
                <w:bCs/>
              </w:rPr>
              <w:t>1.2</w:t>
            </w:r>
          </w:p>
        </w:tc>
      </w:tr>
      <w:tr w:rsidR="00CE4C4B" w:rsidRPr="004B287E" w:rsidTr="00EF6EBA">
        <w:tc>
          <w:tcPr>
            <w:tcW w:w="2943" w:type="dxa"/>
          </w:tcPr>
          <w:p w:rsidR="0037309B" w:rsidRPr="004B287E" w:rsidRDefault="0037309B" w:rsidP="009F0F75">
            <w:pPr>
              <w:rPr>
                <w:rFonts w:cstheme="minorHAnsi"/>
              </w:rPr>
            </w:pPr>
            <w:r w:rsidRPr="004B287E">
              <w:rPr>
                <w:rFonts w:cstheme="minorHAnsi"/>
              </w:rPr>
              <w:t>I- Aktif sigortalılar</w:t>
            </w:r>
          </w:p>
        </w:tc>
        <w:tc>
          <w:tcPr>
            <w:tcW w:w="1220" w:type="dxa"/>
            <w:vAlign w:val="center"/>
          </w:tcPr>
          <w:p w:rsidR="0037309B" w:rsidRPr="004B287E" w:rsidRDefault="0037309B" w:rsidP="009F0F75">
            <w:pPr>
              <w:jc w:val="right"/>
              <w:rPr>
                <w:rFonts w:cstheme="minorHAnsi"/>
                <w:bCs/>
              </w:rPr>
            </w:pPr>
            <w:r w:rsidRPr="004B287E">
              <w:rPr>
                <w:rFonts w:cstheme="minorHAnsi"/>
                <w:bCs/>
              </w:rPr>
              <w:t>16.865.294</w:t>
            </w:r>
          </w:p>
        </w:tc>
        <w:tc>
          <w:tcPr>
            <w:tcW w:w="1220" w:type="dxa"/>
            <w:vAlign w:val="center"/>
          </w:tcPr>
          <w:p w:rsidR="0037309B" w:rsidRPr="004B287E" w:rsidRDefault="0037309B" w:rsidP="009F0F75">
            <w:pPr>
              <w:jc w:val="right"/>
              <w:rPr>
                <w:rFonts w:cstheme="minorHAnsi"/>
                <w:bCs/>
              </w:rPr>
            </w:pPr>
            <w:r w:rsidRPr="004B287E">
              <w:rPr>
                <w:rFonts w:cstheme="minorHAnsi"/>
                <w:bCs/>
              </w:rPr>
              <w:t>20.773.227</w:t>
            </w:r>
          </w:p>
        </w:tc>
        <w:tc>
          <w:tcPr>
            <w:tcW w:w="1220" w:type="dxa"/>
            <w:vAlign w:val="center"/>
          </w:tcPr>
          <w:p w:rsidR="0037309B" w:rsidRPr="004B287E" w:rsidRDefault="0037309B" w:rsidP="009F0F75">
            <w:pPr>
              <w:jc w:val="right"/>
              <w:rPr>
                <w:rFonts w:cstheme="minorHAnsi"/>
                <w:bCs/>
              </w:rPr>
            </w:pPr>
            <w:r w:rsidRPr="004B287E">
              <w:rPr>
                <w:rFonts w:cstheme="minorHAnsi"/>
                <w:bCs/>
              </w:rPr>
              <w:t>21.131.838</w:t>
            </w:r>
          </w:p>
        </w:tc>
        <w:tc>
          <w:tcPr>
            <w:tcW w:w="1220" w:type="dxa"/>
            <w:vAlign w:val="center"/>
          </w:tcPr>
          <w:p w:rsidR="0037309B" w:rsidRPr="004B287E" w:rsidRDefault="0037309B" w:rsidP="009F0F75">
            <w:pPr>
              <w:jc w:val="right"/>
              <w:rPr>
                <w:rFonts w:cstheme="minorHAnsi"/>
                <w:bCs/>
              </w:rPr>
            </w:pPr>
            <w:r w:rsidRPr="004B287E">
              <w:rPr>
                <w:rFonts w:cstheme="minorHAnsi"/>
                <w:bCs/>
              </w:rPr>
              <w:t>22.280.463</w:t>
            </w:r>
          </w:p>
        </w:tc>
        <w:tc>
          <w:tcPr>
            <w:tcW w:w="1391" w:type="dxa"/>
            <w:vAlign w:val="center"/>
          </w:tcPr>
          <w:p w:rsidR="0037309B" w:rsidRPr="004B287E" w:rsidRDefault="0037309B" w:rsidP="009F0F75">
            <w:pPr>
              <w:jc w:val="center"/>
              <w:rPr>
                <w:rFonts w:cstheme="minorHAnsi"/>
                <w:bCs/>
              </w:rPr>
            </w:pPr>
            <w:r w:rsidRPr="004B287E">
              <w:rPr>
                <w:rFonts w:cstheme="minorHAnsi"/>
                <w:bCs/>
              </w:rPr>
              <w:t>5.4</w:t>
            </w:r>
          </w:p>
        </w:tc>
      </w:tr>
      <w:tr w:rsidR="00CE4C4B" w:rsidRPr="004B287E" w:rsidTr="00EF6EBA">
        <w:tc>
          <w:tcPr>
            <w:tcW w:w="2943" w:type="dxa"/>
          </w:tcPr>
          <w:p w:rsidR="0037309B" w:rsidRPr="004B287E" w:rsidRDefault="0037309B" w:rsidP="009F0F75">
            <w:pPr>
              <w:rPr>
                <w:rFonts w:cstheme="minorHAnsi"/>
              </w:rPr>
            </w:pPr>
            <w:r w:rsidRPr="004B287E">
              <w:rPr>
                <w:rFonts w:cstheme="minorHAnsi"/>
              </w:rPr>
              <w:t>II- Pasif (Aylık alan) sigortalılar - Dosya</w:t>
            </w:r>
          </w:p>
        </w:tc>
        <w:tc>
          <w:tcPr>
            <w:tcW w:w="1220" w:type="dxa"/>
            <w:vAlign w:val="center"/>
          </w:tcPr>
          <w:p w:rsidR="0037309B" w:rsidRPr="004B287E" w:rsidRDefault="0037309B" w:rsidP="009F0F75">
            <w:pPr>
              <w:jc w:val="right"/>
              <w:rPr>
                <w:rFonts w:cstheme="minorHAnsi"/>
                <w:bCs/>
              </w:rPr>
            </w:pPr>
            <w:r w:rsidRPr="004B287E">
              <w:rPr>
                <w:rFonts w:cstheme="minorHAnsi"/>
                <w:bCs/>
              </w:rPr>
              <w:t>8.820.679</w:t>
            </w:r>
          </w:p>
        </w:tc>
        <w:tc>
          <w:tcPr>
            <w:tcW w:w="1220" w:type="dxa"/>
            <w:vAlign w:val="center"/>
          </w:tcPr>
          <w:p w:rsidR="0037309B" w:rsidRPr="004B287E" w:rsidRDefault="0037309B" w:rsidP="009F0F75">
            <w:pPr>
              <w:jc w:val="right"/>
              <w:rPr>
                <w:rFonts w:cstheme="minorHAnsi"/>
                <w:bCs/>
              </w:rPr>
            </w:pPr>
            <w:r w:rsidRPr="004B287E">
              <w:rPr>
                <w:rFonts w:cstheme="minorHAnsi"/>
                <w:bCs/>
              </w:rPr>
              <w:t>10.808.165</w:t>
            </w:r>
          </w:p>
        </w:tc>
        <w:tc>
          <w:tcPr>
            <w:tcW w:w="1220" w:type="dxa"/>
            <w:vAlign w:val="center"/>
          </w:tcPr>
          <w:p w:rsidR="0037309B" w:rsidRPr="004B287E" w:rsidRDefault="0037309B" w:rsidP="009F0F75">
            <w:pPr>
              <w:jc w:val="right"/>
              <w:rPr>
                <w:rFonts w:cstheme="minorHAnsi"/>
                <w:bCs/>
              </w:rPr>
            </w:pPr>
            <w:r w:rsidRPr="004B287E">
              <w:rPr>
                <w:rFonts w:cstheme="minorHAnsi"/>
                <w:bCs/>
              </w:rPr>
              <w:t>11.052.334</w:t>
            </w:r>
          </w:p>
        </w:tc>
        <w:tc>
          <w:tcPr>
            <w:tcW w:w="1220" w:type="dxa"/>
            <w:vAlign w:val="center"/>
          </w:tcPr>
          <w:p w:rsidR="0037309B" w:rsidRPr="004B287E" w:rsidRDefault="0037309B" w:rsidP="009F0F75">
            <w:pPr>
              <w:jc w:val="right"/>
              <w:rPr>
                <w:rFonts w:cstheme="minorHAnsi"/>
                <w:bCs/>
              </w:rPr>
            </w:pPr>
            <w:r w:rsidRPr="004B287E">
              <w:rPr>
                <w:rFonts w:cstheme="minorHAnsi"/>
                <w:bCs/>
              </w:rPr>
              <w:t>11.418.722</w:t>
            </w:r>
          </w:p>
        </w:tc>
        <w:tc>
          <w:tcPr>
            <w:tcW w:w="1391" w:type="dxa"/>
            <w:vAlign w:val="center"/>
          </w:tcPr>
          <w:p w:rsidR="0037309B" w:rsidRPr="004B287E" w:rsidRDefault="0037309B" w:rsidP="009F0F75">
            <w:pPr>
              <w:jc w:val="center"/>
              <w:rPr>
                <w:rFonts w:cstheme="minorHAnsi"/>
                <w:bCs/>
              </w:rPr>
            </w:pPr>
            <w:r w:rsidRPr="004B287E">
              <w:rPr>
                <w:rFonts w:cstheme="minorHAnsi"/>
                <w:bCs/>
              </w:rPr>
              <w:t>3.3</w:t>
            </w:r>
          </w:p>
        </w:tc>
      </w:tr>
      <w:tr w:rsidR="00CE4C4B" w:rsidRPr="004B287E" w:rsidTr="00EF6EBA">
        <w:tc>
          <w:tcPr>
            <w:tcW w:w="2943" w:type="dxa"/>
          </w:tcPr>
          <w:p w:rsidR="0037309B" w:rsidRPr="004B287E" w:rsidRDefault="0037309B" w:rsidP="009F0F75">
            <w:pPr>
              <w:rPr>
                <w:rFonts w:cstheme="minorHAnsi"/>
              </w:rPr>
            </w:pPr>
            <w:r w:rsidRPr="004B287E">
              <w:rPr>
                <w:rFonts w:cstheme="minorHAnsi"/>
              </w:rPr>
              <w:t>III- Bağımlılar</w:t>
            </w:r>
          </w:p>
        </w:tc>
        <w:tc>
          <w:tcPr>
            <w:tcW w:w="1220" w:type="dxa"/>
            <w:vAlign w:val="center"/>
          </w:tcPr>
          <w:p w:rsidR="0037309B" w:rsidRPr="004B287E" w:rsidRDefault="0037309B" w:rsidP="009F0F75">
            <w:pPr>
              <w:jc w:val="right"/>
              <w:rPr>
                <w:rFonts w:cstheme="minorHAnsi"/>
                <w:bCs/>
              </w:rPr>
            </w:pPr>
            <w:r w:rsidRPr="004B287E">
              <w:rPr>
                <w:rFonts w:cstheme="minorHAnsi"/>
                <w:bCs/>
              </w:rPr>
              <w:t>35.470.436</w:t>
            </w:r>
          </w:p>
        </w:tc>
        <w:tc>
          <w:tcPr>
            <w:tcW w:w="1220" w:type="dxa"/>
            <w:vAlign w:val="center"/>
          </w:tcPr>
          <w:p w:rsidR="0037309B" w:rsidRPr="004B287E" w:rsidRDefault="0037309B" w:rsidP="009F0F75">
            <w:pPr>
              <w:jc w:val="right"/>
              <w:rPr>
                <w:rFonts w:cstheme="minorHAnsi"/>
                <w:bCs/>
              </w:rPr>
            </w:pPr>
            <w:r w:rsidRPr="004B287E">
              <w:rPr>
                <w:rFonts w:cstheme="minorHAnsi"/>
                <w:bCs/>
              </w:rPr>
              <w:t>34.786.174</w:t>
            </w:r>
          </w:p>
        </w:tc>
        <w:tc>
          <w:tcPr>
            <w:tcW w:w="1220" w:type="dxa"/>
            <w:vAlign w:val="center"/>
          </w:tcPr>
          <w:p w:rsidR="0037309B" w:rsidRPr="004B287E" w:rsidRDefault="0037309B" w:rsidP="009F0F75">
            <w:pPr>
              <w:jc w:val="right"/>
              <w:rPr>
                <w:rFonts w:cstheme="minorHAnsi"/>
                <w:bCs/>
              </w:rPr>
            </w:pPr>
            <w:r w:rsidRPr="004B287E">
              <w:rPr>
                <w:rFonts w:cstheme="minorHAnsi"/>
                <w:bCs/>
              </w:rPr>
              <w:t>34.933.242</w:t>
            </w:r>
          </w:p>
        </w:tc>
        <w:tc>
          <w:tcPr>
            <w:tcW w:w="1220" w:type="dxa"/>
            <w:vAlign w:val="center"/>
          </w:tcPr>
          <w:p w:rsidR="0037309B" w:rsidRPr="004B287E" w:rsidRDefault="0037309B" w:rsidP="009F0F75">
            <w:pPr>
              <w:jc w:val="right"/>
              <w:rPr>
                <w:rFonts w:cstheme="minorHAnsi"/>
                <w:bCs/>
              </w:rPr>
            </w:pPr>
            <w:r w:rsidRPr="004B287E">
              <w:rPr>
                <w:rFonts w:cstheme="minorHAnsi"/>
                <w:bCs/>
              </w:rPr>
              <w:t>35.522.389</w:t>
            </w:r>
          </w:p>
        </w:tc>
        <w:tc>
          <w:tcPr>
            <w:tcW w:w="1391" w:type="dxa"/>
            <w:vAlign w:val="center"/>
          </w:tcPr>
          <w:p w:rsidR="0037309B" w:rsidRPr="004B287E" w:rsidRDefault="0037309B" w:rsidP="009F0F75">
            <w:pPr>
              <w:jc w:val="center"/>
              <w:rPr>
                <w:rFonts w:cstheme="minorHAnsi"/>
                <w:bCs/>
              </w:rPr>
            </w:pPr>
            <w:r w:rsidRPr="004B287E">
              <w:rPr>
                <w:rFonts w:cstheme="minorHAnsi"/>
                <w:bCs/>
              </w:rPr>
              <w:t>1.7</w:t>
            </w:r>
          </w:p>
        </w:tc>
      </w:tr>
      <w:tr w:rsidR="00CE4C4B" w:rsidRPr="004B287E" w:rsidTr="00EF6EBA">
        <w:tc>
          <w:tcPr>
            <w:tcW w:w="2943" w:type="dxa"/>
          </w:tcPr>
          <w:p w:rsidR="0037309B" w:rsidRPr="004B287E" w:rsidRDefault="0037309B" w:rsidP="009F0F75">
            <w:pPr>
              <w:rPr>
                <w:rFonts w:cstheme="minorHAnsi"/>
              </w:rPr>
            </w:pPr>
            <w:r w:rsidRPr="004B287E">
              <w:rPr>
                <w:rFonts w:cstheme="minorHAnsi"/>
              </w:rPr>
              <w:t>IV-Özel sandıklar</w:t>
            </w:r>
          </w:p>
        </w:tc>
        <w:tc>
          <w:tcPr>
            <w:tcW w:w="1220" w:type="dxa"/>
            <w:vAlign w:val="bottom"/>
          </w:tcPr>
          <w:p w:rsidR="0037309B" w:rsidRPr="004B287E" w:rsidRDefault="0037309B" w:rsidP="009F0F75">
            <w:pPr>
              <w:jc w:val="right"/>
              <w:rPr>
                <w:rFonts w:cstheme="minorHAnsi"/>
                <w:bCs/>
              </w:rPr>
            </w:pPr>
            <w:r w:rsidRPr="004B287E">
              <w:rPr>
                <w:rFonts w:cstheme="minorHAnsi"/>
                <w:bCs/>
              </w:rPr>
              <w:t>341.103</w:t>
            </w:r>
          </w:p>
        </w:tc>
        <w:tc>
          <w:tcPr>
            <w:tcW w:w="1220" w:type="dxa"/>
            <w:vAlign w:val="bottom"/>
          </w:tcPr>
          <w:p w:rsidR="0037309B" w:rsidRPr="004B287E" w:rsidRDefault="0037309B" w:rsidP="009F0F75">
            <w:pPr>
              <w:jc w:val="right"/>
              <w:rPr>
                <w:rFonts w:cstheme="minorHAnsi"/>
                <w:bCs/>
              </w:rPr>
            </w:pPr>
            <w:r w:rsidRPr="004B287E">
              <w:rPr>
                <w:rFonts w:cstheme="minorHAnsi"/>
                <w:bCs/>
              </w:rPr>
              <w:t>386.572</w:t>
            </w:r>
          </w:p>
        </w:tc>
        <w:tc>
          <w:tcPr>
            <w:tcW w:w="1220" w:type="dxa"/>
            <w:vAlign w:val="bottom"/>
          </w:tcPr>
          <w:p w:rsidR="0037309B" w:rsidRPr="004B287E" w:rsidRDefault="0037309B" w:rsidP="009F0F75">
            <w:pPr>
              <w:jc w:val="right"/>
              <w:rPr>
                <w:rFonts w:cstheme="minorHAnsi"/>
                <w:bCs/>
              </w:rPr>
            </w:pPr>
            <w:r w:rsidRPr="004B287E">
              <w:rPr>
                <w:rFonts w:cstheme="minorHAnsi"/>
                <w:bCs/>
              </w:rPr>
              <w:t>392.201</w:t>
            </w:r>
          </w:p>
        </w:tc>
        <w:tc>
          <w:tcPr>
            <w:tcW w:w="1220" w:type="dxa"/>
            <w:vAlign w:val="bottom"/>
          </w:tcPr>
          <w:p w:rsidR="0037309B" w:rsidRPr="004B287E" w:rsidRDefault="0037309B" w:rsidP="009F0F75">
            <w:pPr>
              <w:jc w:val="right"/>
              <w:rPr>
                <w:rFonts w:cstheme="minorHAnsi"/>
                <w:bCs/>
              </w:rPr>
            </w:pPr>
            <w:r w:rsidRPr="004B287E">
              <w:rPr>
                <w:rFonts w:cstheme="minorHAnsi"/>
                <w:bCs/>
              </w:rPr>
              <w:t>406.856</w:t>
            </w:r>
          </w:p>
        </w:tc>
        <w:tc>
          <w:tcPr>
            <w:tcW w:w="1391" w:type="dxa"/>
            <w:vAlign w:val="center"/>
          </w:tcPr>
          <w:p w:rsidR="0037309B" w:rsidRPr="004B287E" w:rsidRDefault="0037309B" w:rsidP="009F0F75">
            <w:pPr>
              <w:jc w:val="center"/>
              <w:rPr>
                <w:rFonts w:cstheme="minorHAnsi"/>
                <w:bCs/>
              </w:rPr>
            </w:pPr>
            <w:r w:rsidRPr="004B287E">
              <w:rPr>
                <w:rFonts w:cstheme="minorHAnsi"/>
                <w:bCs/>
              </w:rPr>
              <w:t>3.7</w:t>
            </w:r>
          </w:p>
        </w:tc>
      </w:tr>
      <w:tr w:rsidR="00CE4C4B" w:rsidRPr="004B287E" w:rsidTr="00EF6EBA">
        <w:tc>
          <w:tcPr>
            <w:tcW w:w="2943" w:type="dxa"/>
          </w:tcPr>
          <w:p w:rsidR="0037309B" w:rsidRPr="004B287E" w:rsidRDefault="0037309B" w:rsidP="009F0F75">
            <w:pPr>
              <w:rPr>
                <w:rFonts w:cstheme="minorHAnsi"/>
              </w:rPr>
            </w:pPr>
            <w:r w:rsidRPr="004B287E">
              <w:rPr>
                <w:rFonts w:cstheme="minorHAnsi"/>
              </w:rPr>
              <w:t>Sigortalı nüfusun (I+II+III+IV) Türkiye nüfusuna oranı</w:t>
            </w:r>
          </w:p>
        </w:tc>
        <w:tc>
          <w:tcPr>
            <w:tcW w:w="1220" w:type="dxa"/>
            <w:vAlign w:val="center"/>
          </w:tcPr>
          <w:p w:rsidR="0037309B" w:rsidRPr="004B287E" w:rsidRDefault="0037309B" w:rsidP="009F0F75">
            <w:pPr>
              <w:jc w:val="right"/>
              <w:rPr>
                <w:rFonts w:cstheme="minorHAnsi"/>
                <w:bCs/>
              </w:rPr>
            </w:pPr>
            <w:r w:rsidRPr="004B287E">
              <w:rPr>
                <w:rFonts w:cstheme="minorHAnsi"/>
                <w:bCs/>
              </w:rPr>
              <w:t>84%</w:t>
            </w:r>
          </w:p>
        </w:tc>
        <w:tc>
          <w:tcPr>
            <w:tcW w:w="1220" w:type="dxa"/>
            <w:vAlign w:val="center"/>
          </w:tcPr>
          <w:p w:rsidR="0037309B" w:rsidRPr="004B287E" w:rsidRDefault="0037309B" w:rsidP="009F0F75">
            <w:pPr>
              <w:jc w:val="right"/>
              <w:rPr>
                <w:rFonts w:cstheme="minorHAnsi"/>
                <w:bCs/>
              </w:rPr>
            </w:pPr>
            <w:r w:rsidRPr="004B287E">
              <w:rPr>
                <w:rFonts w:cstheme="minorHAnsi"/>
                <w:bCs/>
              </w:rPr>
              <w:t>85,5%</w:t>
            </w:r>
          </w:p>
        </w:tc>
        <w:tc>
          <w:tcPr>
            <w:tcW w:w="1220" w:type="dxa"/>
            <w:vAlign w:val="center"/>
          </w:tcPr>
          <w:p w:rsidR="0037309B" w:rsidRPr="004B287E" w:rsidRDefault="0037309B" w:rsidP="009F0F75">
            <w:pPr>
              <w:jc w:val="right"/>
              <w:rPr>
                <w:rFonts w:cstheme="minorHAnsi"/>
                <w:bCs/>
              </w:rPr>
            </w:pPr>
            <w:r w:rsidRPr="004B287E">
              <w:rPr>
                <w:rFonts w:cstheme="minorHAnsi"/>
                <w:bCs/>
              </w:rPr>
              <w:t>85,5%</w:t>
            </w:r>
          </w:p>
        </w:tc>
        <w:tc>
          <w:tcPr>
            <w:tcW w:w="1220" w:type="dxa"/>
            <w:vAlign w:val="center"/>
          </w:tcPr>
          <w:p w:rsidR="0037309B" w:rsidRPr="004B287E" w:rsidRDefault="0037309B" w:rsidP="009F0F75">
            <w:pPr>
              <w:jc w:val="right"/>
              <w:rPr>
                <w:rFonts w:cstheme="minorHAnsi"/>
                <w:bCs/>
              </w:rPr>
            </w:pPr>
            <w:r w:rsidRPr="004B287E">
              <w:rPr>
                <w:rFonts w:cstheme="minorHAnsi"/>
                <w:bCs/>
              </w:rPr>
              <w:t>87,1%</w:t>
            </w:r>
          </w:p>
        </w:tc>
        <w:tc>
          <w:tcPr>
            <w:tcW w:w="1391" w:type="dxa"/>
            <w:vAlign w:val="center"/>
          </w:tcPr>
          <w:p w:rsidR="0037309B" w:rsidRPr="004B287E" w:rsidRDefault="0037309B" w:rsidP="009F0F75">
            <w:pPr>
              <w:jc w:val="center"/>
              <w:rPr>
                <w:rFonts w:cstheme="minorHAnsi"/>
                <w:bCs/>
              </w:rPr>
            </w:pPr>
            <w:r w:rsidRPr="004B287E">
              <w:rPr>
                <w:rFonts w:cstheme="minorHAnsi"/>
                <w:bCs/>
              </w:rPr>
              <w:t>3.2</w:t>
            </w:r>
          </w:p>
        </w:tc>
      </w:tr>
      <w:tr w:rsidR="00CE4C4B" w:rsidRPr="004B287E" w:rsidTr="00EF6EBA">
        <w:tc>
          <w:tcPr>
            <w:tcW w:w="2943" w:type="dxa"/>
          </w:tcPr>
          <w:p w:rsidR="00BD7CBA" w:rsidRPr="004B287E" w:rsidRDefault="00BD7CBA" w:rsidP="009F0F75">
            <w:pPr>
              <w:rPr>
                <w:rFonts w:cstheme="minorHAnsi"/>
              </w:rPr>
            </w:pPr>
            <w:r w:rsidRPr="004B287E">
              <w:rPr>
                <w:rFonts w:cstheme="minorHAnsi"/>
              </w:rPr>
              <w:t xml:space="preserve">Aktif/Pasif oranı </w:t>
            </w:r>
          </w:p>
        </w:tc>
        <w:tc>
          <w:tcPr>
            <w:tcW w:w="1220" w:type="dxa"/>
            <w:vAlign w:val="bottom"/>
          </w:tcPr>
          <w:p w:rsidR="00BD7CBA" w:rsidRPr="004B287E" w:rsidRDefault="00BD7CBA" w:rsidP="00BD7CBA">
            <w:pPr>
              <w:jc w:val="right"/>
              <w:rPr>
                <w:rFonts w:cstheme="minorHAnsi"/>
                <w:bCs/>
              </w:rPr>
            </w:pPr>
            <w:r w:rsidRPr="004B287E">
              <w:rPr>
                <w:rFonts w:cstheme="minorHAnsi"/>
                <w:bCs/>
              </w:rPr>
              <w:t>1,91</w:t>
            </w:r>
          </w:p>
        </w:tc>
        <w:tc>
          <w:tcPr>
            <w:tcW w:w="1220" w:type="dxa"/>
            <w:vAlign w:val="bottom"/>
          </w:tcPr>
          <w:p w:rsidR="00BD7CBA" w:rsidRPr="004B287E" w:rsidRDefault="00BD7CBA" w:rsidP="00BD7CBA">
            <w:pPr>
              <w:jc w:val="right"/>
              <w:rPr>
                <w:rFonts w:cstheme="minorHAnsi"/>
                <w:bCs/>
              </w:rPr>
            </w:pPr>
            <w:r w:rsidRPr="004B287E">
              <w:rPr>
                <w:rFonts w:cstheme="minorHAnsi"/>
                <w:bCs/>
              </w:rPr>
              <w:t>1,92</w:t>
            </w:r>
          </w:p>
        </w:tc>
        <w:tc>
          <w:tcPr>
            <w:tcW w:w="1220" w:type="dxa"/>
            <w:vAlign w:val="bottom"/>
          </w:tcPr>
          <w:p w:rsidR="00BD7CBA" w:rsidRPr="004B287E" w:rsidRDefault="00BD7CBA" w:rsidP="00BD7CBA">
            <w:pPr>
              <w:jc w:val="right"/>
              <w:rPr>
                <w:rFonts w:cstheme="minorHAnsi"/>
                <w:bCs/>
              </w:rPr>
            </w:pPr>
            <w:r w:rsidRPr="004B287E">
              <w:rPr>
                <w:rFonts w:cstheme="minorHAnsi"/>
                <w:bCs/>
              </w:rPr>
              <w:t>1,91</w:t>
            </w:r>
          </w:p>
        </w:tc>
        <w:tc>
          <w:tcPr>
            <w:tcW w:w="1220" w:type="dxa"/>
            <w:vAlign w:val="bottom"/>
          </w:tcPr>
          <w:p w:rsidR="00BD7CBA" w:rsidRPr="004B287E" w:rsidRDefault="00BD7CBA" w:rsidP="00BD7CBA">
            <w:pPr>
              <w:jc w:val="right"/>
              <w:rPr>
                <w:rFonts w:cstheme="minorHAnsi"/>
                <w:bCs/>
              </w:rPr>
            </w:pPr>
            <w:r w:rsidRPr="004B287E">
              <w:rPr>
                <w:rFonts w:cstheme="minorHAnsi"/>
                <w:bCs/>
              </w:rPr>
              <w:t>1,95</w:t>
            </w:r>
          </w:p>
        </w:tc>
        <w:tc>
          <w:tcPr>
            <w:tcW w:w="1391" w:type="dxa"/>
            <w:vAlign w:val="center"/>
          </w:tcPr>
          <w:p w:rsidR="00BD7CBA" w:rsidRPr="004B287E" w:rsidRDefault="00BD7CBA" w:rsidP="009F0F75">
            <w:pPr>
              <w:jc w:val="center"/>
              <w:rPr>
                <w:rFonts w:cstheme="minorHAnsi"/>
                <w:bCs/>
              </w:rPr>
            </w:pPr>
            <w:r w:rsidRPr="004B287E">
              <w:rPr>
                <w:rFonts w:cstheme="minorHAnsi"/>
                <w:bCs/>
              </w:rPr>
              <w:t>2,1</w:t>
            </w:r>
          </w:p>
        </w:tc>
      </w:tr>
    </w:tbl>
    <w:p w:rsidR="0037309B" w:rsidRPr="004B287E" w:rsidRDefault="0037309B" w:rsidP="00EF6EBA">
      <w:pPr>
        <w:jc w:val="center"/>
        <w:rPr>
          <w:i/>
        </w:rPr>
      </w:pPr>
      <w:r w:rsidRPr="004B287E">
        <w:rPr>
          <w:b/>
          <w:i/>
        </w:rPr>
        <w:t>Kaynak</w:t>
      </w:r>
      <w:r w:rsidRPr="004B287E">
        <w:rPr>
          <w:i/>
        </w:rPr>
        <w:t>: SGK 2017 İstatistikleri Tablo-</w:t>
      </w:r>
      <w:proofErr w:type="gramStart"/>
      <w:r w:rsidRPr="004B287E">
        <w:rPr>
          <w:i/>
        </w:rPr>
        <w:t>1.1</w:t>
      </w:r>
      <w:proofErr w:type="gramEnd"/>
    </w:p>
    <w:p w:rsidR="00BD7CBA" w:rsidRPr="004B287E" w:rsidRDefault="00B52DAE" w:rsidP="00AE750A">
      <w:pPr>
        <w:ind w:firstLine="567"/>
        <w:jc w:val="both"/>
      </w:pPr>
      <w:r w:rsidRPr="004B287E">
        <w:t>2017 yılında Türkiye nüfusu %1,2 art</w:t>
      </w:r>
      <w:r w:rsidR="00BD7CBA" w:rsidRPr="004B287E">
        <w:t xml:space="preserve">arken aktif sigortalıların sayısı </w:t>
      </w:r>
      <w:r w:rsidRPr="004B287E">
        <w:t xml:space="preserve">bir önceki yıla göre </w:t>
      </w:r>
      <w:r w:rsidR="005F0D09" w:rsidRPr="004B287E">
        <w:t>%5,</w:t>
      </w:r>
      <w:r w:rsidRPr="004B287E">
        <w:t>4</w:t>
      </w:r>
      <w:r w:rsidR="007512D3" w:rsidRPr="004B287E">
        <w:t xml:space="preserve">; </w:t>
      </w:r>
      <w:r w:rsidRPr="004B287E">
        <w:t>zorunlu sigortalıların sayısı</w:t>
      </w:r>
      <w:r w:rsidR="00BD7CBA" w:rsidRPr="004B287E">
        <w:t xml:space="preserve"> ise</w:t>
      </w:r>
      <w:r w:rsidRPr="004B287E">
        <w:t xml:space="preserve"> %6,2 art</w:t>
      </w:r>
      <w:r w:rsidR="00BD7CBA" w:rsidRPr="004B287E">
        <w:t>mıştı</w:t>
      </w:r>
      <w:r w:rsidRPr="004B287E">
        <w:t>r.</w:t>
      </w:r>
      <w:r w:rsidR="00BD7CBA" w:rsidRPr="004B287E">
        <w:t xml:space="preserve"> </w:t>
      </w:r>
      <w:r w:rsidRPr="004B287E">
        <w:t xml:space="preserve">Bu rakamlar 2017 yılındaki </w:t>
      </w:r>
      <w:r w:rsidR="0037309B" w:rsidRPr="004B287E">
        <w:t xml:space="preserve">istihdam destekleri ve </w:t>
      </w:r>
      <w:r w:rsidRPr="004B287E">
        <w:t>ekonomik büyüme etkisiyle zorunlu sigortalı sayısının nüfus artışından fazla arttığını göstermektedir.</w:t>
      </w:r>
      <w:r w:rsidR="00BD7CBA" w:rsidRPr="004B287E">
        <w:t xml:space="preserve"> </w:t>
      </w:r>
    </w:p>
    <w:p w:rsidR="00B52DAE" w:rsidRPr="004B287E" w:rsidRDefault="00B52DAE" w:rsidP="00AE750A">
      <w:pPr>
        <w:ind w:firstLine="567"/>
        <w:jc w:val="both"/>
      </w:pPr>
      <w:r w:rsidRPr="004B287E">
        <w:t xml:space="preserve">Yaşlılık aylığı (emekli maaşı) alan sigortalıların sayısı 280 bin, malullük aylığı alanların sayısı 2.571, vazife malullerinin sayısı ise 764 kişi artmıştır. Sürekli iş göremezlik geliri alan </w:t>
      </w:r>
      <w:r w:rsidR="00BD7CBA" w:rsidRPr="004B287E">
        <w:t>sigortalı sayısı 2.973 kişi (%4</w:t>
      </w:r>
      <w:r w:rsidR="005F0D09" w:rsidRPr="004B287E">
        <w:t>,</w:t>
      </w:r>
      <w:r w:rsidRPr="004B287E">
        <w:t>2) artarak 73 bin kişi olmuştur. 2017 yılı içinde 77 bin sigortalı hayatını kaybetmiştir. Verilere göre Türkiye'de sigortalı nüfusun Türkiye nüfusuna</w:t>
      </w:r>
      <w:r w:rsidR="005F0D09" w:rsidRPr="004B287E">
        <w:t xml:space="preserve"> oranı %2 civarında artarak %87,</w:t>
      </w:r>
      <w:r w:rsidRPr="004B287E">
        <w:t xml:space="preserve">1'e yükselmiştir. </w:t>
      </w:r>
    </w:p>
    <w:p w:rsidR="00B52DAE" w:rsidRPr="004B287E" w:rsidRDefault="00BD7CBA" w:rsidP="00AE750A">
      <w:pPr>
        <w:ind w:firstLine="567"/>
        <w:jc w:val="both"/>
      </w:pPr>
      <w:r w:rsidRPr="004B287E">
        <w:t>Sosyal Güvenlik Kurumu'ndan aylık alan sigortalıların sayısı (pasif sigortalılar) 2017 yılında %3</w:t>
      </w:r>
      <w:r w:rsidR="005F0D09" w:rsidRPr="004B287E">
        <w:t>,</w:t>
      </w:r>
      <w:r w:rsidRPr="004B287E">
        <w:t xml:space="preserve">4 artmıştır.  </w:t>
      </w:r>
      <w:r w:rsidR="005F0D09" w:rsidRPr="004B287E">
        <w:t xml:space="preserve">Sigortalı olarak çalışan ve prim ödeyenler ile sigorta kurumundan aylık ve gelir alanların oranını gösteren </w:t>
      </w:r>
      <w:r w:rsidR="00FF1AD0" w:rsidRPr="004B287E">
        <w:t>aktif/</w:t>
      </w:r>
      <w:r w:rsidR="005F0D09" w:rsidRPr="004B287E">
        <w:t xml:space="preserve">pasif oranı giderek yükselmektedir. </w:t>
      </w:r>
      <w:r w:rsidRPr="004B287E">
        <w:t xml:space="preserve">Aktif/pasif oranı bir önceki yıla göre bir miktar artışla 1,95 olmuştur. </w:t>
      </w:r>
      <w:r w:rsidR="00B52DAE" w:rsidRPr="004B287E">
        <w:t>SGK verilerine gö</w:t>
      </w:r>
      <w:r w:rsidR="005F0D09" w:rsidRPr="004B287E">
        <w:t>re 2002 yılında 2,04 olan aktif/</w:t>
      </w:r>
      <w:r w:rsidR="00B52DAE" w:rsidRPr="004B287E">
        <w:t xml:space="preserve">pasif oranı 2009 yılına kadar düşerek 1,78'e indikten sonra kısmi bir yükselme eğilimine girmiş ve 2017 yılında 1,95 olmuştur. Emeklilik yaşı ve emeklilik için gerekli sigorta sürelerinin artırılmış olmasının etkilerinin görülmesiyle birlikte aktif-pasif oranındaki düşme durmuş ve yukarı yönlü hale gelmiştir. Aktif-pasif oranının en yüksek olduğu sigortalı kesimi 2,33 oranıyla işçiler iken, kamu çalışanlarında bu oran 1,52 ve bağımsız çalışanlarda ise 1,21 olarak hesaplanmıştır. </w:t>
      </w:r>
    </w:p>
    <w:p w:rsidR="00B52DAE" w:rsidRPr="004B287E" w:rsidRDefault="00B52DAE" w:rsidP="00AE750A">
      <w:pPr>
        <w:spacing w:before="120" w:after="120"/>
        <w:ind w:firstLine="567"/>
        <w:jc w:val="both"/>
      </w:pPr>
      <w:r w:rsidRPr="004B287E">
        <w:t>5510 sayılı SSGSS Yasası</w:t>
      </w:r>
      <w:r w:rsidR="001933D0" w:rsidRPr="004B287E">
        <w:t xml:space="preserve"> sigortalıları</w:t>
      </w:r>
      <w:r w:rsidRPr="004B287E">
        <w:t xml:space="preserve"> 3 kategoride sınıflandırmaktadır. Söz konusu kategorilerden 4-1/a maddesi kapsamında yer alanlar esas olarak 4857 sayılı İş Kanunu'na tabi şekilde çalışan ve yasada "işçi" olarak tanımlanan emekçilerdir. 4-1/c maddesi kapsamında yer alanlar ise esas olarak 657 sayılı Devlet Memurları Yasası'na tabi şekilde çalışan kamu çalışanlarıdır (memurlar). Biz bu iki grubu, her iki grup içinde de "işçi sınıfı" içinde değerlendirilemeyecek olan kesimler (üst düzey ücretl</w:t>
      </w:r>
      <w:r w:rsidR="00FF1AD0" w:rsidRPr="004B287E">
        <w:t xml:space="preserve">i yöneticiler, muvazzaf askerler vd.) </w:t>
      </w:r>
      <w:r w:rsidRPr="004B287E">
        <w:t xml:space="preserve">bulunmakla birlikte, "işçi sınıfı" veya "ücretli emekçiler" olarak tanımlayacağız. Üçüncü grup ise 4-1/b kapsamında yer alan bağımsız çalışan kişiler ve işverenlerden oluşan gruptur. </w:t>
      </w:r>
    </w:p>
    <w:p w:rsidR="005F0D09" w:rsidRPr="004B287E" w:rsidRDefault="005F0D09" w:rsidP="00D65C41">
      <w:pPr>
        <w:pStyle w:val="TabloBal"/>
        <w:rPr>
          <w:color w:val="auto"/>
        </w:rPr>
      </w:pPr>
      <w:bookmarkStart w:id="8" w:name="_Toc536279460"/>
      <w:r w:rsidRPr="004B287E">
        <w:rPr>
          <w:b/>
          <w:color w:val="auto"/>
        </w:rPr>
        <w:lastRenderedPageBreak/>
        <w:t>Tablo-</w:t>
      </w:r>
      <w:r w:rsidR="005011BA" w:rsidRPr="004B287E">
        <w:rPr>
          <w:b/>
          <w:color w:val="auto"/>
        </w:rPr>
        <w:t>2</w:t>
      </w:r>
      <w:r w:rsidRPr="004B287E">
        <w:rPr>
          <w:color w:val="auto"/>
        </w:rPr>
        <w:t xml:space="preserve">: </w:t>
      </w:r>
      <w:r w:rsidR="00D360F3" w:rsidRPr="004B287E">
        <w:rPr>
          <w:color w:val="auto"/>
        </w:rPr>
        <w:t>Türkiye'de Sigortalı Sayıları, 2015-2017</w:t>
      </w:r>
      <w:bookmarkEnd w:id="8"/>
    </w:p>
    <w:tbl>
      <w:tblPr>
        <w:tblStyle w:val="TabloKlavuzu"/>
        <w:tblW w:w="9134" w:type="dxa"/>
        <w:tblCellMar>
          <w:left w:w="57" w:type="dxa"/>
          <w:right w:w="57" w:type="dxa"/>
        </w:tblCellMar>
        <w:tblLook w:val="04A0"/>
      </w:tblPr>
      <w:tblGrid>
        <w:gridCol w:w="917"/>
        <w:gridCol w:w="1455"/>
        <w:gridCol w:w="1159"/>
        <w:gridCol w:w="1118"/>
        <w:gridCol w:w="1118"/>
        <w:gridCol w:w="1118"/>
        <w:gridCol w:w="1118"/>
        <w:gridCol w:w="1131"/>
      </w:tblGrid>
      <w:tr w:rsidR="00CE4C4B" w:rsidRPr="004B287E" w:rsidTr="00EF6EBA">
        <w:trPr>
          <w:trHeight w:val="258"/>
        </w:trPr>
        <w:tc>
          <w:tcPr>
            <w:tcW w:w="919" w:type="dxa"/>
            <w:vMerge w:val="restart"/>
            <w:vAlign w:val="center"/>
          </w:tcPr>
          <w:p w:rsidR="001933D0" w:rsidRPr="004B287E" w:rsidRDefault="001933D0" w:rsidP="00EF6EBA">
            <w:pPr>
              <w:spacing w:before="60" w:after="60"/>
              <w:jc w:val="center"/>
              <w:rPr>
                <w:rFonts w:cstheme="minorHAnsi"/>
              </w:rPr>
            </w:pPr>
            <w:r w:rsidRPr="004B287E">
              <w:rPr>
                <w:rFonts w:cstheme="minorHAnsi"/>
              </w:rPr>
              <w:t>5510</w:t>
            </w:r>
          </w:p>
          <w:p w:rsidR="001933D0" w:rsidRPr="004B287E" w:rsidRDefault="001933D0" w:rsidP="00EF6EBA">
            <w:pPr>
              <w:spacing w:before="60" w:after="60"/>
              <w:jc w:val="center"/>
              <w:rPr>
                <w:rFonts w:cstheme="minorHAnsi"/>
              </w:rPr>
            </w:pPr>
            <w:r w:rsidRPr="004B287E">
              <w:rPr>
                <w:rFonts w:cstheme="minorHAnsi"/>
              </w:rPr>
              <w:t>Kapsam</w:t>
            </w:r>
          </w:p>
        </w:tc>
        <w:tc>
          <w:tcPr>
            <w:tcW w:w="1457" w:type="dxa"/>
            <w:vMerge w:val="restart"/>
            <w:vAlign w:val="center"/>
          </w:tcPr>
          <w:p w:rsidR="001933D0" w:rsidRPr="004B287E" w:rsidRDefault="001933D0" w:rsidP="00EF6EBA">
            <w:pPr>
              <w:spacing w:before="60" w:after="60"/>
              <w:jc w:val="center"/>
              <w:rPr>
                <w:rFonts w:cstheme="minorHAnsi"/>
              </w:rPr>
            </w:pPr>
            <w:r w:rsidRPr="004B287E">
              <w:rPr>
                <w:rFonts w:cstheme="minorHAnsi"/>
              </w:rPr>
              <w:t>Adlandırma*</w:t>
            </w:r>
          </w:p>
        </w:tc>
        <w:tc>
          <w:tcPr>
            <w:tcW w:w="2276" w:type="dxa"/>
            <w:gridSpan w:val="2"/>
          </w:tcPr>
          <w:p w:rsidR="001933D0" w:rsidRPr="004B287E" w:rsidRDefault="001933D0" w:rsidP="003616A0">
            <w:pPr>
              <w:spacing w:before="60" w:after="60"/>
              <w:jc w:val="center"/>
              <w:rPr>
                <w:rFonts w:cstheme="minorHAnsi"/>
              </w:rPr>
            </w:pPr>
            <w:r w:rsidRPr="004B287E">
              <w:rPr>
                <w:rFonts w:cstheme="minorHAnsi"/>
              </w:rPr>
              <w:t>2015</w:t>
            </w:r>
          </w:p>
        </w:tc>
        <w:tc>
          <w:tcPr>
            <w:tcW w:w="2234" w:type="dxa"/>
            <w:gridSpan w:val="2"/>
          </w:tcPr>
          <w:p w:rsidR="001933D0" w:rsidRPr="004B287E" w:rsidRDefault="001933D0" w:rsidP="003616A0">
            <w:pPr>
              <w:spacing w:before="60" w:after="60"/>
              <w:jc w:val="center"/>
              <w:rPr>
                <w:rFonts w:cstheme="minorHAnsi"/>
              </w:rPr>
            </w:pPr>
            <w:r w:rsidRPr="004B287E">
              <w:rPr>
                <w:rFonts w:cstheme="minorHAnsi"/>
              </w:rPr>
              <w:t>2016</w:t>
            </w:r>
          </w:p>
        </w:tc>
        <w:tc>
          <w:tcPr>
            <w:tcW w:w="2248" w:type="dxa"/>
            <w:gridSpan w:val="2"/>
          </w:tcPr>
          <w:p w:rsidR="001933D0" w:rsidRPr="004B287E" w:rsidRDefault="001933D0" w:rsidP="003616A0">
            <w:pPr>
              <w:spacing w:before="60" w:after="60"/>
              <w:jc w:val="center"/>
              <w:rPr>
                <w:rFonts w:cstheme="minorHAnsi"/>
              </w:rPr>
            </w:pPr>
            <w:r w:rsidRPr="004B287E">
              <w:rPr>
                <w:rFonts w:cstheme="minorHAnsi"/>
              </w:rPr>
              <w:t>2017</w:t>
            </w:r>
          </w:p>
        </w:tc>
      </w:tr>
      <w:tr w:rsidR="00CE4C4B" w:rsidRPr="004B287E" w:rsidTr="00DC14EF">
        <w:trPr>
          <w:trHeight w:val="272"/>
        </w:trPr>
        <w:tc>
          <w:tcPr>
            <w:tcW w:w="919" w:type="dxa"/>
            <w:vMerge/>
          </w:tcPr>
          <w:p w:rsidR="001933D0" w:rsidRPr="004B287E" w:rsidRDefault="001933D0" w:rsidP="003616A0">
            <w:pPr>
              <w:spacing w:before="60" w:after="60"/>
              <w:rPr>
                <w:rFonts w:cstheme="minorHAnsi"/>
              </w:rPr>
            </w:pPr>
          </w:p>
        </w:tc>
        <w:tc>
          <w:tcPr>
            <w:tcW w:w="1457" w:type="dxa"/>
            <w:vMerge/>
          </w:tcPr>
          <w:p w:rsidR="001933D0" w:rsidRPr="004B287E" w:rsidRDefault="001933D0" w:rsidP="003616A0">
            <w:pPr>
              <w:spacing w:before="60" w:after="60"/>
              <w:rPr>
                <w:rFonts w:cstheme="minorHAnsi"/>
              </w:rPr>
            </w:pPr>
          </w:p>
        </w:tc>
        <w:tc>
          <w:tcPr>
            <w:tcW w:w="1159" w:type="dxa"/>
          </w:tcPr>
          <w:p w:rsidR="001933D0" w:rsidRPr="004B287E" w:rsidRDefault="001933D0" w:rsidP="003616A0">
            <w:pPr>
              <w:spacing w:before="60" w:after="60"/>
              <w:jc w:val="center"/>
              <w:rPr>
                <w:rFonts w:cstheme="minorHAnsi"/>
              </w:rPr>
            </w:pPr>
            <w:r w:rsidRPr="004B287E">
              <w:rPr>
                <w:rFonts w:cstheme="minorHAnsi"/>
              </w:rPr>
              <w:t>Aktif</w:t>
            </w:r>
          </w:p>
        </w:tc>
        <w:tc>
          <w:tcPr>
            <w:tcW w:w="1117" w:type="dxa"/>
          </w:tcPr>
          <w:p w:rsidR="001933D0" w:rsidRPr="004B287E" w:rsidRDefault="001933D0" w:rsidP="003616A0">
            <w:pPr>
              <w:spacing w:before="60" w:after="60"/>
              <w:jc w:val="center"/>
              <w:rPr>
                <w:rFonts w:cstheme="minorHAnsi"/>
              </w:rPr>
            </w:pPr>
            <w:r w:rsidRPr="004B287E">
              <w:rPr>
                <w:rFonts w:cstheme="minorHAnsi"/>
              </w:rPr>
              <w:t>Zorunlu</w:t>
            </w:r>
          </w:p>
        </w:tc>
        <w:tc>
          <w:tcPr>
            <w:tcW w:w="1117" w:type="dxa"/>
          </w:tcPr>
          <w:p w:rsidR="001933D0" w:rsidRPr="004B287E" w:rsidRDefault="001933D0" w:rsidP="003616A0">
            <w:pPr>
              <w:spacing w:before="60" w:after="60"/>
              <w:jc w:val="center"/>
              <w:rPr>
                <w:rFonts w:cstheme="minorHAnsi"/>
              </w:rPr>
            </w:pPr>
            <w:r w:rsidRPr="004B287E">
              <w:rPr>
                <w:rFonts w:cstheme="minorHAnsi"/>
              </w:rPr>
              <w:t>Aktif</w:t>
            </w:r>
          </w:p>
        </w:tc>
        <w:tc>
          <w:tcPr>
            <w:tcW w:w="1117" w:type="dxa"/>
          </w:tcPr>
          <w:p w:rsidR="001933D0" w:rsidRPr="004B287E" w:rsidRDefault="001933D0" w:rsidP="003616A0">
            <w:pPr>
              <w:spacing w:before="60" w:after="60"/>
              <w:jc w:val="center"/>
              <w:rPr>
                <w:rFonts w:cstheme="minorHAnsi"/>
              </w:rPr>
            </w:pPr>
            <w:r w:rsidRPr="004B287E">
              <w:rPr>
                <w:rFonts w:cstheme="minorHAnsi"/>
              </w:rPr>
              <w:t>Zorunlu</w:t>
            </w:r>
          </w:p>
        </w:tc>
        <w:tc>
          <w:tcPr>
            <w:tcW w:w="1117" w:type="dxa"/>
          </w:tcPr>
          <w:p w:rsidR="001933D0" w:rsidRPr="004B287E" w:rsidRDefault="001933D0" w:rsidP="003616A0">
            <w:pPr>
              <w:spacing w:before="60" w:after="60"/>
              <w:jc w:val="center"/>
              <w:rPr>
                <w:rFonts w:cstheme="minorHAnsi"/>
              </w:rPr>
            </w:pPr>
            <w:r w:rsidRPr="004B287E">
              <w:rPr>
                <w:rFonts w:cstheme="minorHAnsi"/>
              </w:rPr>
              <w:t>Aktif</w:t>
            </w:r>
          </w:p>
        </w:tc>
        <w:tc>
          <w:tcPr>
            <w:tcW w:w="1131" w:type="dxa"/>
          </w:tcPr>
          <w:p w:rsidR="001933D0" w:rsidRPr="004B287E" w:rsidRDefault="001933D0" w:rsidP="003616A0">
            <w:pPr>
              <w:spacing w:before="60" w:after="60"/>
              <w:jc w:val="center"/>
              <w:rPr>
                <w:rFonts w:cstheme="minorHAnsi"/>
              </w:rPr>
            </w:pPr>
            <w:r w:rsidRPr="004B287E">
              <w:rPr>
                <w:rFonts w:cstheme="minorHAnsi"/>
              </w:rPr>
              <w:t>Zorunlu</w:t>
            </w:r>
          </w:p>
        </w:tc>
      </w:tr>
      <w:tr w:rsidR="00CE4C4B" w:rsidRPr="004B287E" w:rsidTr="00DC14EF">
        <w:tc>
          <w:tcPr>
            <w:tcW w:w="919" w:type="dxa"/>
          </w:tcPr>
          <w:p w:rsidR="001933D0" w:rsidRPr="004B287E" w:rsidRDefault="001933D0" w:rsidP="003616A0">
            <w:pPr>
              <w:spacing w:before="60" w:after="60"/>
              <w:rPr>
                <w:rFonts w:cstheme="minorHAnsi"/>
              </w:rPr>
            </w:pPr>
            <w:r w:rsidRPr="004B287E">
              <w:rPr>
                <w:rFonts w:cstheme="minorHAnsi"/>
              </w:rPr>
              <w:t>4-1/a</w:t>
            </w:r>
          </w:p>
        </w:tc>
        <w:tc>
          <w:tcPr>
            <w:tcW w:w="1457" w:type="dxa"/>
          </w:tcPr>
          <w:p w:rsidR="001933D0" w:rsidRPr="004B287E" w:rsidRDefault="001933D0" w:rsidP="003616A0">
            <w:pPr>
              <w:spacing w:before="60" w:after="60"/>
              <w:rPr>
                <w:rFonts w:cstheme="minorHAnsi"/>
              </w:rPr>
            </w:pPr>
            <w:r w:rsidRPr="004B287E">
              <w:rPr>
                <w:rFonts w:cstheme="minorHAnsi"/>
              </w:rPr>
              <w:t>İşçi</w:t>
            </w:r>
          </w:p>
        </w:tc>
        <w:tc>
          <w:tcPr>
            <w:tcW w:w="1159" w:type="dxa"/>
            <w:vAlign w:val="center"/>
          </w:tcPr>
          <w:p w:rsidR="001933D0" w:rsidRPr="004B287E" w:rsidRDefault="001933D0" w:rsidP="003616A0">
            <w:pPr>
              <w:spacing w:before="60" w:after="60"/>
              <w:jc w:val="right"/>
              <w:rPr>
                <w:rFonts w:cstheme="minorHAnsi"/>
                <w:bCs/>
              </w:rPr>
            </w:pPr>
            <w:r w:rsidRPr="004B287E">
              <w:rPr>
                <w:rFonts w:cstheme="minorHAnsi"/>
                <w:bCs/>
              </w:rPr>
              <w:t>14.802.222</w:t>
            </w:r>
          </w:p>
        </w:tc>
        <w:tc>
          <w:tcPr>
            <w:tcW w:w="1117" w:type="dxa"/>
            <w:vAlign w:val="center"/>
          </w:tcPr>
          <w:p w:rsidR="001933D0" w:rsidRPr="004B287E" w:rsidRDefault="001933D0" w:rsidP="003616A0">
            <w:pPr>
              <w:spacing w:before="60" w:after="60"/>
              <w:jc w:val="right"/>
              <w:rPr>
                <w:rFonts w:cstheme="minorHAnsi"/>
              </w:rPr>
            </w:pPr>
            <w:r w:rsidRPr="004B287E">
              <w:rPr>
                <w:rFonts w:cstheme="minorHAnsi"/>
              </w:rPr>
              <w:t>13.713.717</w:t>
            </w:r>
          </w:p>
        </w:tc>
        <w:tc>
          <w:tcPr>
            <w:tcW w:w="1117" w:type="dxa"/>
            <w:vAlign w:val="center"/>
          </w:tcPr>
          <w:p w:rsidR="001933D0" w:rsidRPr="004B287E" w:rsidRDefault="001933D0" w:rsidP="003616A0">
            <w:pPr>
              <w:spacing w:before="60" w:after="60"/>
              <w:jc w:val="right"/>
              <w:rPr>
                <w:rFonts w:cstheme="minorHAnsi"/>
                <w:bCs/>
              </w:rPr>
            </w:pPr>
            <w:r w:rsidRPr="004B287E">
              <w:rPr>
                <w:rFonts w:cstheme="minorHAnsi"/>
                <w:bCs/>
              </w:rPr>
              <w:t>15.355.158</w:t>
            </w:r>
          </w:p>
        </w:tc>
        <w:tc>
          <w:tcPr>
            <w:tcW w:w="1117" w:type="dxa"/>
            <w:vAlign w:val="center"/>
          </w:tcPr>
          <w:p w:rsidR="001933D0" w:rsidRPr="004B287E" w:rsidRDefault="001933D0" w:rsidP="003616A0">
            <w:pPr>
              <w:spacing w:before="60" w:after="60"/>
              <w:jc w:val="right"/>
              <w:rPr>
                <w:rFonts w:cstheme="minorHAnsi"/>
              </w:rPr>
            </w:pPr>
            <w:r w:rsidRPr="004B287E">
              <w:rPr>
                <w:rFonts w:cstheme="minorHAnsi"/>
              </w:rPr>
              <w:t>13.415.843</w:t>
            </w:r>
          </w:p>
        </w:tc>
        <w:tc>
          <w:tcPr>
            <w:tcW w:w="1117" w:type="dxa"/>
            <w:vAlign w:val="center"/>
          </w:tcPr>
          <w:p w:rsidR="001933D0" w:rsidRPr="004B287E" w:rsidRDefault="001933D0" w:rsidP="003616A0">
            <w:pPr>
              <w:spacing w:before="60" w:after="60"/>
              <w:jc w:val="right"/>
              <w:rPr>
                <w:rFonts w:cstheme="minorHAnsi"/>
                <w:bCs/>
              </w:rPr>
            </w:pPr>
            <w:r w:rsidRPr="004B287E">
              <w:rPr>
                <w:rFonts w:cstheme="minorHAnsi"/>
                <w:bCs/>
              </w:rPr>
              <w:t>16.369.073</w:t>
            </w:r>
          </w:p>
        </w:tc>
        <w:tc>
          <w:tcPr>
            <w:tcW w:w="1131" w:type="dxa"/>
            <w:vAlign w:val="center"/>
          </w:tcPr>
          <w:p w:rsidR="001933D0" w:rsidRPr="004B287E" w:rsidRDefault="001933D0" w:rsidP="003616A0">
            <w:pPr>
              <w:spacing w:before="60" w:after="60"/>
              <w:jc w:val="right"/>
              <w:rPr>
                <w:rFonts w:cstheme="minorHAnsi"/>
              </w:rPr>
            </w:pPr>
            <w:r w:rsidRPr="004B287E">
              <w:rPr>
                <w:rFonts w:cstheme="minorHAnsi"/>
              </w:rPr>
              <w:t>14.477.817</w:t>
            </w:r>
          </w:p>
        </w:tc>
      </w:tr>
      <w:tr w:rsidR="00CE4C4B" w:rsidRPr="004B287E" w:rsidTr="005829AD">
        <w:tc>
          <w:tcPr>
            <w:tcW w:w="919" w:type="dxa"/>
          </w:tcPr>
          <w:p w:rsidR="00FF1AD0" w:rsidRPr="004B287E" w:rsidRDefault="00FF1AD0" w:rsidP="003616A0">
            <w:pPr>
              <w:spacing w:before="60" w:after="60"/>
              <w:rPr>
                <w:rFonts w:cstheme="minorHAnsi"/>
              </w:rPr>
            </w:pPr>
            <w:r w:rsidRPr="004B287E">
              <w:rPr>
                <w:rFonts w:cstheme="minorHAnsi"/>
              </w:rPr>
              <w:t>4-1/c</w:t>
            </w:r>
          </w:p>
        </w:tc>
        <w:tc>
          <w:tcPr>
            <w:tcW w:w="1457" w:type="dxa"/>
          </w:tcPr>
          <w:p w:rsidR="00FF1AD0" w:rsidRPr="004B287E" w:rsidRDefault="00FF1AD0" w:rsidP="003616A0">
            <w:pPr>
              <w:spacing w:before="60" w:after="60"/>
              <w:rPr>
                <w:rFonts w:cstheme="minorHAnsi"/>
              </w:rPr>
            </w:pPr>
            <w:r w:rsidRPr="004B287E">
              <w:rPr>
                <w:rFonts w:cstheme="minorHAnsi"/>
              </w:rPr>
              <w:t>Kamu çalışanı</w:t>
            </w:r>
          </w:p>
        </w:tc>
        <w:tc>
          <w:tcPr>
            <w:tcW w:w="1159" w:type="dxa"/>
            <w:vAlign w:val="center"/>
          </w:tcPr>
          <w:p w:rsidR="00FF1AD0" w:rsidRPr="004B287E" w:rsidRDefault="00FF1AD0" w:rsidP="003616A0">
            <w:pPr>
              <w:spacing w:before="60" w:after="60"/>
              <w:jc w:val="right"/>
              <w:rPr>
                <w:rFonts w:cstheme="minorHAnsi"/>
                <w:bCs/>
              </w:rPr>
            </w:pPr>
            <w:r w:rsidRPr="004B287E">
              <w:rPr>
                <w:rFonts w:cstheme="minorHAnsi"/>
                <w:bCs/>
              </w:rPr>
              <w:t>3.032.971</w:t>
            </w:r>
          </w:p>
        </w:tc>
        <w:tc>
          <w:tcPr>
            <w:tcW w:w="1117" w:type="dxa"/>
            <w:vAlign w:val="center"/>
          </w:tcPr>
          <w:p w:rsidR="00FF1AD0" w:rsidRPr="004B287E" w:rsidRDefault="00FF1AD0" w:rsidP="003616A0">
            <w:pPr>
              <w:spacing w:before="60" w:after="60"/>
              <w:jc w:val="right"/>
              <w:rPr>
                <w:rFonts w:cstheme="minorHAnsi"/>
              </w:rPr>
            </w:pPr>
            <w:r w:rsidRPr="004B287E">
              <w:rPr>
                <w:rFonts w:cstheme="minorHAnsi"/>
              </w:rPr>
              <w:t>3.031.979</w:t>
            </w:r>
          </w:p>
        </w:tc>
        <w:tc>
          <w:tcPr>
            <w:tcW w:w="1117" w:type="dxa"/>
            <w:vAlign w:val="center"/>
          </w:tcPr>
          <w:p w:rsidR="00FF1AD0" w:rsidRPr="004B287E" w:rsidRDefault="00FF1AD0" w:rsidP="003616A0">
            <w:pPr>
              <w:spacing w:before="60" w:after="60"/>
              <w:jc w:val="right"/>
              <w:rPr>
                <w:rFonts w:cstheme="minorHAnsi"/>
                <w:bCs/>
              </w:rPr>
            </w:pPr>
            <w:r w:rsidRPr="004B287E">
              <w:rPr>
                <w:rFonts w:cstheme="minorHAnsi"/>
                <w:bCs/>
              </w:rPr>
              <w:t>2.982.548</w:t>
            </w:r>
          </w:p>
        </w:tc>
        <w:tc>
          <w:tcPr>
            <w:tcW w:w="1117" w:type="dxa"/>
            <w:vAlign w:val="center"/>
          </w:tcPr>
          <w:p w:rsidR="00FF1AD0" w:rsidRPr="004B287E" w:rsidRDefault="00FF1AD0" w:rsidP="003616A0">
            <w:pPr>
              <w:spacing w:before="60" w:after="60"/>
              <w:jc w:val="right"/>
              <w:rPr>
                <w:rFonts w:cstheme="minorHAnsi"/>
              </w:rPr>
            </w:pPr>
            <w:r w:rsidRPr="004B287E">
              <w:rPr>
                <w:rFonts w:cstheme="minorHAnsi"/>
              </w:rPr>
              <w:t>2.981.646</w:t>
            </w:r>
          </w:p>
        </w:tc>
        <w:tc>
          <w:tcPr>
            <w:tcW w:w="1117" w:type="dxa"/>
            <w:vAlign w:val="center"/>
          </w:tcPr>
          <w:p w:rsidR="00FF1AD0" w:rsidRPr="004B287E" w:rsidRDefault="00FF1AD0" w:rsidP="003616A0">
            <w:pPr>
              <w:spacing w:before="60" w:after="60"/>
              <w:jc w:val="right"/>
              <w:rPr>
                <w:rFonts w:cstheme="minorHAnsi"/>
                <w:bCs/>
              </w:rPr>
            </w:pPr>
            <w:r w:rsidRPr="004B287E">
              <w:rPr>
                <w:rFonts w:cstheme="minorHAnsi"/>
                <w:bCs/>
              </w:rPr>
              <w:t>2.987.396</w:t>
            </w:r>
          </w:p>
        </w:tc>
        <w:tc>
          <w:tcPr>
            <w:tcW w:w="1131" w:type="dxa"/>
            <w:vAlign w:val="center"/>
          </w:tcPr>
          <w:p w:rsidR="00FF1AD0" w:rsidRPr="004B287E" w:rsidRDefault="00FF1AD0" w:rsidP="003616A0">
            <w:pPr>
              <w:spacing w:before="60" w:after="60"/>
              <w:jc w:val="right"/>
              <w:rPr>
                <w:rFonts w:cstheme="minorHAnsi"/>
              </w:rPr>
            </w:pPr>
            <w:r w:rsidRPr="004B287E">
              <w:rPr>
                <w:rFonts w:cstheme="minorHAnsi"/>
              </w:rPr>
              <w:t>2.986.088</w:t>
            </w:r>
          </w:p>
        </w:tc>
      </w:tr>
      <w:tr w:rsidR="00CE4C4B" w:rsidRPr="004B287E" w:rsidTr="00DC14EF">
        <w:tc>
          <w:tcPr>
            <w:tcW w:w="919" w:type="dxa"/>
          </w:tcPr>
          <w:p w:rsidR="001933D0" w:rsidRPr="004B287E" w:rsidRDefault="001933D0" w:rsidP="003616A0">
            <w:pPr>
              <w:spacing w:before="60" w:after="60"/>
              <w:rPr>
                <w:rFonts w:cstheme="minorHAnsi"/>
              </w:rPr>
            </w:pPr>
            <w:r w:rsidRPr="004B287E">
              <w:rPr>
                <w:rFonts w:cstheme="minorHAnsi"/>
              </w:rPr>
              <w:t>4-1/b</w:t>
            </w:r>
          </w:p>
        </w:tc>
        <w:tc>
          <w:tcPr>
            <w:tcW w:w="1457" w:type="dxa"/>
          </w:tcPr>
          <w:p w:rsidR="001933D0" w:rsidRPr="004B287E" w:rsidRDefault="001933D0" w:rsidP="003616A0">
            <w:pPr>
              <w:spacing w:before="60" w:after="60"/>
              <w:rPr>
                <w:rFonts w:cstheme="minorHAnsi"/>
              </w:rPr>
            </w:pPr>
            <w:r w:rsidRPr="004B287E">
              <w:rPr>
                <w:rFonts w:cstheme="minorHAnsi"/>
              </w:rPr>
              <w:t>Bağımsız</w:t>
            </w:r>
          </w:p>
        </w:tc>
        <w:tc>
          <w:tcPr>
            <w:tcW w:w="1159" w:type="dxa"/>
            <w:vAlign w:val="center"/>
          </w:tcPr>
          <w:p w:rsidR="001933D0" w:rsidRPr="004B287E" w:rsidRDefault="001933D0" w:rsidP="003616A0">
            <w:pPr>
              <w:spacing w:before="60" w:after="60"/>
              <w:jc w:val="right"/>
              <w:rPr>
                <w:rFonts w:cstheme="minorHAnsi"/>
                <w:bCs/>
              </w:rPr>
            </w:pPr>
            <w:r w:rsidRPr="004B287E">
              <w:rPr>
                <w:rFonts w:cstheme="minorHAnsi"/>
                <w:bCs/>
              </w:rPr>
              <w:t>2.938.034</w:t>
            </w:r>
          </w:p>
        </w:tc>
        <w:tc>
          <w:tcPr>
            <w:tcW w:w="1117" w:type="dxa"/>
            <w:vAlign w:val="center"/>
          </w:tcPr>
          <w:p w:rsidR="001933D0" w:rsidRPr="004B287E" w:rsidRDefault="001933D0" w:rsidP="003616A0">
            <w:pPr>
              <w:spacing w:before="60" w:after="60"/>
              <w:jc w:val="right"/>
              <w:rPr>
                <w:rFonts w:cstheme="minorHAnsi"/>
              </w:rPr>
            </w:pPr>
            <w:r w:rsidRPr="004B287E">
              <w:rPr>
                <w:rFonts w:cstheme="minorHAnsi"/>
              </w:rPr>
              <w:t>2.021.157</w:t>
            </w:r>
          </w:p>
        </w:tc>
        <w:tc>
          <w:tcPr>
            <w:tcW w:w="1117" w:type="dxa"/>
            <w:vAlign w:val="center"/>
          </w:tcPr>
          <w:p w:rsidR="001933D0" w:rsidRPr="004B287E" w:rsidRDefault="001933D0" w:rsidP="003616A0">
            <w:pPr>
              <w:spacing w:before="60" w:after="60"/>
              <w:jc w:val="right"/>
              <w:rPr>
                <w:rFonts w:cstheme="minorHAnsi"/>
                <w:bCs/>
              </w:rPr>
            </w:pPr>
            <w:r w:rsidRPr="004B287E">
              <w:rPr>
                <w:rFonts w:cstheme="minorHAnsi"/>
                <w:bCs/>
              </w:rPr>
              <w:t>2.794.132</w:t>
            </w:r>
          </w:p>
        </w:tc>
        <w:tc>
          <w:tcPr>
            <w:tcW w:w="1117" w:type="dxa"/>
            <w:vAlign w:val="center"/>
          </w:tcPr>
          <w:p w:rsidR="001933D0" w:rsidRPr="004B287E" w:rsidRDefault="001933D0" w:rsidP="003616A0">
            <w:pPr>
              <w:spacing w:before="60" w:after="60"/>
              <w:jc w:val="right"/>
              <w:rPr>
                <w:rFonts w:cstheme="minorHAnsi"/>
              </w:rPr>
            </w:pPr>
            <w:r w:rsidRPr="004B287E">
              <w:rPr>
                <w:rFonts w:cstheme="minorHAnsi"/>
              </w:rPr>
              <w:t>1.969.805</w:t>
            </w:r>
          </w:p>
        </w:tc>
        <w:tc>
          <w:tcPr>
            <w:tcW w:w="1117" w:type="dxa"/>
            <w:vAlign w:val="center"/>
          </w:tcPr>
          <w:p w:rsidR="001933D0" w:rsidRPr="004B287E" w:rsidRDefault="001933D0" w:rsidP="003616A0">
            <w:pPr>
              <w:spacing w:before="60" w:after="60"/>
              <w:jc w:val="right"/>
              <w:rPr>
                <w:rFonts w:cstheme="minorHAnsi"/>
                <w:bCs/>
              </w:rPr>
            </w:pPr>
            <w:r w:rsidRPr="004B287E">
              <w:rPr>
                <w:rFonts w:cstheme="minorHAnsi"/>
                <w:bCs/>
              </w:rPr>
              <w:t>2.923.994</w:t>
            </w:r>
          </w:p>
        </w:tc>
        <w:tc>
          <w:tcPr>
            <w:tcW w:w="1131" w:type="dxa"/>
            <w:vAlign w:val="center"/>
          </w:tcPr>
          <w:p w:rsidR="001933D0" w:rsidRPr="004B287E" w:rsidRDefault="001933D0" w:rsidP="003616A0">
            <w:pPr>
              <w:spacing w:before="60" w:after="60"/>
              <w:jc w:val="right"/>
              <w:rPr>
                <w:rFonts w:cstheme="minorHAnsi"/>
              </w:rPr>
            </w:pPr>
            <w:r w:rsidRPr="004B287E">
              <w:rPr>
                <w:rFonts w:cstheme="minorHAnsi"/>
              </w:rPr>
              <w:t>2.047.268</w:t>
            </w:r>
          </w:p>
        </w:tc>
      </w:tr>
      <w:tr w:rsidR="00CE4C4B" w:rsidRPr="004B287E" w:rsidTr="00DC14EF">
        <w:tc>
          <w:tcPr>
            <w:tcW w:w="2376" w:type="dxa"/>
            <w:gridSpan w:val="2"/>
          </w:tcPr>
          <w:p w:rsidR="001933D0" w:rsidRPr="004B287E" w:rsidRDefault="001933D0" w:rsidP="003616A0">
            <w:pPr>
              <w:spacing w:before="60" w:after="60"/>
              <w:jc w:val="right"/>
              <w:rPr>
                <w:rFonts w:cstheme="minorHAnsi"/>
                <w:b/>
              </w:rPr>
            </w:pPr>
            <w:r w:rsidRPr="004B287E">
              <w:rPr>
                <w:rFonts w:cstheme="minorHAnsi"/>
                <w:b/>
              </w:rPr>
              <w:t>Toplam</w:t>
            </w:r>
          </w:p>
        </w:tc>
        <w:tc>
          <w:tcPr>
            <w:tcW w:w="1159" w:type="dxa"/>
            <w:vAlign w:val="center"/>
          </w:tcPr>
          <w:p w:rsidR="001933D0" w:rsidRPr="004B287E" w:rsidRDefault="001933D0" w:rsidP="003616A0">
            <w:pPr>
              <w:spacing w:before="60" w:after="60"/>
              <w:jc w:val="right"/>
              <w:rPr>
                <w:rFonts w:cstheme="minorHAnsi"/>
                <w:bCs/>
              </w:rPr>
            </w:pPr>
            <w:r w:rsidRPr="004B287E">
              <w:rPr>
                <w:rFonts w:cstheme="minorHAnsi"/>
                <w:bCs/>
              </w:rPr>
              <w:t>20.773.227</w:t>
            </w:r>
          </w:p>
        </w:tc>
        <w:tc>
          <w:tcPr>
            <w:tcW w:w="1117" w:type="dxa"/>
            <w:vAlign w:val="center"/>
          </w:tcPr>
          <w:p w:rsidR="001933D0" w:rsidRPr="004B287E" w:rsidRDefault="001933D0" w:rsidP="003616A0">
            <w:pPr>
              <w:spacing w:before="60" w:after="60"/>
              <w:jc w:val="right"/>
              <w:rPr>
                <w:rFonts w:cstheme="minorHAnsi"/>
              </w:rPr>
            </w:pPr>
            <w:r w:rsidRPr="004B287E">
              <w:rPr>
                <w:rFonts w:cstheme="minorHAnsi"/>
              </w:rPr>
              <w:t>18.766.853</w:t>
            </w:r>
          </w:p>
        </w:tc>
        <w:tc>
          <w:tcPr>
            <w:tcW w:w="1117" w:type="dxa"/>
            <w:vAlign w:val="center"/>
          </w:tcPr>
          <w:p w:rsidR="001933D0" w:rsidRPr="004B287E" w:rsidRDefault="001933D0" w:rsidP="003616A0">
            <w:pPr>
              <w:spacing w:before="60" w:after="60"/>
              <w:jc w:val="right"/>
              <w:rPr>
                <w:rFonts w:cstheme="minorHAnsi"/>
                <w:bCs/>
              </w:rPr>
            </w:pPr>
            <w:r w:rsidRPr="004B287E">
              <w:rPr>
                <w:rFonts w:cstheme="minorHAnsi"/>
                <w:bCs/>
              </w:rPr>
              <w:t>21.131.838</w:t>
            </w:r>
          </w:p>
        </w:tc>
        <w:tc>
          <w:tcPr>
            <w:tcW w:w="1117" w:type="dxa"/>
            <w:vAlign w:val="center"/>
          </w:tcPr>
          <w:p w:rsidR="001933D0" w:rsidRPr="004B287E" w:rsidRDefault="001933D0" w:rsidP="003616A0">
            <w:pPr>
              <w:spacing w:before="60" w:after="60"/>
              <w:jc w:val="right"/>
              <w:rPr>
                <w:rFonts w:cstheme="minorHAnsi"/>
              </w:rPr>
            </w:pPr>
            <w:r w:rsidRPr="004B287E">
              <w:rPr>
                <w:rFonts w:cstheme="minorHAnsi"/>
              </w:rPr>
              <w:t>18.367.294</w:t>
            </w:r>
          </w:p>
        </w:tc>
        <w:tc>
          <w:tcPr>
            <w:tcW w:w="1117" w:type="dxa"/>
            <w:vAlign w:val="center"/>
          </w:tcPr>
          <w:p w:rsidR="001933D0" w:rsidRPr="004B287E" w:rsidRDefault="001933D0" w:rsidP="003616A0">
            <w:pPr>
              <w:spacing w:before="60" w:after="60"/>
              <w:jc w:val="right"/>
              <w:rPr>
                <w:rFonts w:cstheme="minorHAnsi"/>
                <w:bCs/>
              </w:rPr>
            </w:pPr>
            <w:r w:rsidRPr="004B287E">
              <w:rPr>
                <w:rFonts w:cstheme="minorHAnsi"/>
                <w:bCs/>
              </w:rPr>
              <w:t>22.280.463</w:t>
            </w:r>
          </w:p>
        </w:tc>
        <w:tc>
          <w:tcPr>
            <w:tcW w:w="1131" w:type="dxa"/>
            <w:vAlign w:val="center"/>
          </w:tcPr>
          <w:p w:rsidR="001933D0" w:rsidRPr="004B287E" w:rsidRDefault="001933D0" w:rsidP="003616A0">
            <w:pPr>
              <w:spacing w:before="60" w:after="60"/>
              <w:jc w:val="right"/>
              <w:rPr>
                <w:rFonts w:cstheme="minorHAnsi"/>
              </w:rPr>
            </w:pPr>
            <w:r w:rsidRPr="004B287E">
              <w:rPr>
                <w:rFonts w:cstheme="minorHAnsi"/>
              </w:rPr>
              <w:t>19.511.173</w:t>
            </w:r>
          </w:p>
        </w:tc>
      </w:tr>
    </w:tbl>
    <w:p w:rsidR="005F0D09" w:rsidRPr="004B287E" w:rsidRDefault="001933D0" w:rsidP="00B52DAE">
      <w:r w:rsidRPr="004B287E">
        <w:rPr>
          <w:b/>
        </w:rPr>
        <w:t>Kaynak</w:t>
      </w:r>
      <w:r w:rsidRPr="004B287E">
        <w:t xml:space="preserve">: </w:t>
      </w:r>
      <w:r w:rsidRPr="004B287E">
        <w:rPr>
          <w:i/>
        </w:rPr>
        <w:t xml:space="preserve">SGK 2017 İstatistikleri Tablo </w:t>
      </w:r>
      <w:proofErr w:type="gramStart"/>
      <w:r w:rsidRPr="004B287E">
        <w:rPr>
          <w:i/>
        </w:rPr>
        <w:t>1.2</w:t>
      </w:r>
      <w:proofErr w:type="gramEnd"/>
      <w:r w:rsidRPr="004B287E">
        <w:rPr>
          <w:i/>
        </w:rPr>
        <w:t>, Tablo 1.4, Tablo 1.6. * Adlandırma: Tanımların anlaşılabilirliğini artırmak için ilgili kapsamın ana kesimine bağlı olarak adlandırma bizim tarafımızdan yapılmıştır.</w:t>
      </w:r>
      <w:r w:rsidRPr="004B287E">
        <w:t xml:space="preserve"> </w:t>
      </w:r>
    </w:p>
    <w:p w:rsidR="00B52DAE" w:rsidRPr="004B287E" w:rsidRDefault="001933D0" w:rsidP="00AE750A">
      <w:pPr>
        <w:ind w:firstLine="567"/>
        <w:jc w:val="both"/>
      </w:pPr>
      <w:r w:rsidRPr="004B287E">
        <w:t>2017 yılında a</w:t>
      </w:r>
      <w:r w:rsidR="00B52DAE" w:rsidRPr="004B287E">
        <w:t>ktif sigortalı olan</w:t>
      </w:r>
      <w:r w:rsidRPr="004B287E">
        <w:t>ların</w:t>
      </w:r>
      <w:r w:rsidR="00B52DAE" w:rsidRPr="004B287E">
        <w:t xml:space="preserve"> </w:t>
      </w:r>
      <w:r w:rsidRPr="004B287E">
        <w:t>%73,4'ü</w:t>
      </w:r>
      <w:r w:rsidR="00B52DAE" w:rsidRPr="004B287E">
        <w:t xml:space="preserve"> işçi, </w:t>
      </w:r>
      <w:r w:rsidRPr="004B287E">
        <w:t>%13,4'ü</w:t>
      </w:r>
      <w:r w:rsidR="00B52DAE" w:rsidRPr="004B287E">
        <w:t xml:space="preserve"> kamu çalışanı olmak üzere </w:t>
      </w:r>
      <w:r w:rsidR="00DC14EF" w:rsidRPr="004B287E">
        <w:t xml:space="preserve">%86,9'u </w:t>
      </w:r>
      <w:r w:rsidR="00B52DAE" w:rsidRPr="004B287E">
        <w:t>ücretli emekçidir. Zorunlu sigorta kapsamında olan 17 milyon 463 bin sigort</w:t>
      </w:r>
      <w:r w:rsidR="00FF1AD0" w:rsidRPr="004B287E">
        <w:t xml:space="preserve">alı ücretli emekçi içinde kadın emekçilerin </w:t>
      </w:r>
      <w:r w:rsidR="00B52DAE" w:rsidRPr="004B287E">
        <w:t xml:space="preserve">sayısı 5 milyon 173 bin kişidir (%30). </w:t>
      </w:r>
    </w:p>
    <w:p w:rsidR="009E3E24" w:rsidRPr="004B287E" w:rsidRDefault="00B23771" w:rsidP="00A6168D">
      <w:pPr>
        <w:pStyle w:val="Balk3"/>
        <w:numPr>
          <w:ilvl w:val="1"/>
          <w:numId w:val="10"/>
        </w:numPr>
      </w:pPr>
      <w:bookmarkStart w:id="9" w:name="_Toc536280778"/>
      <w:r w:rsidRPr="004B287E">
        <w:t>İş Kazaları ve Meslek Hastalıkları</w:t>
      </w:r>
      <w:bookmarkEnd w:id="9"/>
    </w:p>
    <w:p w:rsidR="00FF1AD0" w:rsidRPr="004B287E" w:rsidRDefault="00813CC7" w:rsidP="00AE750A">
      <w:pPr>
        <w:ind w:firstLine="567"/>
        <w:jc w:val="both"/>
      </w:pPr>
      <w:r w:rsidRPr="004B287E">
        <w:t>SSGSS Yasası'nda iş kazası ve meslek hastalığı kapsamı işçiler ve b</w:t>
      </w:r>
      <w:r w:rsidR="00FF1AD0" w:rsidRPr="004B287E">
        <w:t xml:space="preserve">ağımsız çalışanları kapsamakta, kamu çalışanlarını ise dışarıda bırakmaktadır. Kamu çalışanlarının işlerinden kaynaklı sağlık sorunlarının bir bölümü vazife malullüğü olarak değerlendirilmektedir. </w:t>
      </w:r>
    </w:p>
    <w:p w:rsidR="00B23771" w:rsidRPr="004B287E" w:rsidRDefault="000B2661" w:rsidP="00AE750A">
      <w:pPr>
        <w:ind w:firstLine="567"/>
        <w:jc w:val="both"/>
      </w:pPr>
      <w:r w:rsidRPr="004B287E">
        <w:t xml:space="preserve">SSGSS Yasası'na göre iş kazası ve meslek hastalığı kapsamında işçilerle birlikte bağımsız çalışanlar da bulunmakla </w:t>
      </w:r>
      <w:r w:rsidR="00813CC7" w:rsidRPr="004B287E">
        <w:t xml:space="preserve">birlikte geçen yıllarda yalnızca işçilere dair veriler yayınlanmaktaydı. </w:t>
      </w:r>
      <w:proofErr w:type="spellStart"/>
      <w:r w:rsidR="00B23771" w:rsidRPr="004B287E">
        <w:t>SGK</w:t>
      </w:r>
      <w:r w:rsidR="00485CDB" w:rsidRPr="004B287E">
        <w:t>'nın</w:t>
      </w:r>
      <w:proofErr w:type="spellEnd"/>
      <w:r w:rsidR="00B23771" w:rsidRPr="004B287E">
        <w:t xml:space="preserve"> 2017 yılı verilerinde, önceki yıllardakinden farklı olarak, bağımsız çalışanların geçirdiği iş kazası ve meslek hastalıkları bilgilerine de yer verilmiştir. </w:t>
      </w:r>
    </w:p>
    <w:p w:rsidR="00DC14EF" w:rsidRPr="004B287E" w:rsidRDefault="00DC14EF" w:rsidP="00AE750A">
      <w:pPr>
        <w:ind w:firstLine="567"/>
        <w:jc w:val="both"/>
      </w:pPr>
      <w:proofErr w:type="spellStart"/>
      <w:r w:rsidRPr="004B287E">
        <w:t>SGK'nın</w:t>
      </w:r>
      <w:proofErr w:type="spellEnd"/>
      <w:r w:rsidRPr="004B287E">
        <w:t xml:space="preserve"> sunduğu istatistiklerde yıl içinde iş kazası ve meslek hastalığı nedeniyle sürekli iş göremez hale gelenler </w:t>
      </w:r>
      <w:r w:rsidR="000B2661" w:rsidRPr="004B287E">
        <w:t>ve</w:t>
      </w:r>
      <w:r w:rsidRPr="004B287E">
        <w:t xml:space="preserve"> ölenlerin sayısı ile aynı nedenlerle sürekli iş göremezlik geliri ve ölüm geliri bağlananların sayıları arasında tutarsızlık bulunmaktadır. </w:t>
      </w:r>
      <w:r w:rsidR="00D360F3" w:rsidRPr="004B287E">
        <w:t>Bu tutarsızlık r</w:t>
      </w:r>
      <w:r w:rsidR="00A026C7" w:rsidRPr="004B287E">
        <w:t xml:space="preserve">aporun ilerleyen bölümlerinde verilerle gösterilecektir. </w:t>
      </w:r>
    </w:p>
    <w:p w:rsidR="00735C48" w:rsidRPr="004B287E" w:rsidRDefault="008944DE" w:rsidP="00AE750A">
      <w:pPr>
        <w:ind w:firstLine="567"/>
        <w:jc w:val="both"/>
      </w:pPr>
      <w:r w:rsidRPr="004B287E">
        <w:t xml:space="preserve">Verilere göre 2017 yılında iş kazası sonucu ölen sigortalı işçi </w:t>
      </w:r>
      <w:r w:rsidR="00813CC7" w:rsidRPr="004B287E">
        <w:t xml:space="preserve">(5510 Md. 4-1/a kapsamı) </w:t>
      </w:r>
      <w:r w:rsidRPr="004B287E">
        <w:t xml:space="preserve">sayısı 1.604'ü erkek, 29'u kadın olmak üzere 1.633 kişidir. Verilere göre meslek hastalığı sonucu ölen sigortalı </w:t>
      </w:r>
      <w:r w:rsidR="008E6904" w:rsidRPr="004B287E">
        <w:t xml:space="preserve">işçi </w:t>
      </w:r>
      <w:r w:rsidRPr="004B287E">
        <w:t xml:space="preserve">ise yoktur. </w:t>
      </w:r>
      <w:r w:rsidR="00735C48" w:rsidRPr="004B287E">
        <w:t xml:space="preserve">Bağımsız çalışanlardan ise (5510 Md. 4-1/b) 3 erkek sigortalının </w:t>
      </w:r>
      <w:r w:rsidR="008E6904" w:rsidRPr="004B287E">
        <w:t xml:space="preserve">iş kazası sonucunda hayatını kaybettiği, meslek hastalığından ölümün ise olmadığı verisi bulunmaktadır. Bu iki veri birlikte değerlendirildiğinde SGK verilerine göre 2017 yılı içinde 1.636 kişinin </w:t>
      </w:r>
      <w:r w:rsidR="00DC14EF" w:rsidRPr="004B287E">
        <w:t xml:space="preserve">SSGSS kapsamında bildirimi yapılan </w:t>
      </w:r>
      <w:r w:rsidR="008E6904" w:rsidRPr="004B287E">
        <w:t>iş kazaları sonucunda öldüğü görülmektedir. Ancak</w:t>
      </w:r>
      <w:r w:rsidR="00813CC7" w:rsidRPr="004B287E">
        <w:t xml:space="preserve"> </w:t>
      </w:r>
      <w:r w:rsidR="00623320" w:rsidRPr="004B287E">
        <w:t xml:space="preserve">Türkiye'de </w:t>
      </w:r>
      <w:r w:rsidR="00D97B0F" w:rsidRPr="004B287E">
        <w:t>konuyla ilgili herkes</w:t>
      </w:r>
      <w:r w:rsidR="00623320" w:rsidRPr="004B287E">
        <w:t>;</w:t>
      </w:r>
      <w:r w:rsidR="00D97B0F" w:rsidRPr="004B287E">
        <w:t xml:space="preserve"> </w:t>
      </w:r>
      <w:r w:rsidR="00813CC7" w:rsidRPr="004B287E">
        <w:t xml:space="preserve">sigortasız ve kaçak çalışmalar, tespit edilmeyen meslek hastalıkları, bildirilmeyen iş kazaları vb. nedenlerden dolayı </w:t>
      </w:r>
      <w:r w:rsidR="008E6904" w:rsidRPr="004B287E">
        <w:t>gerçek sayının çok daha fazla olduğu</w:t>
      </w:r>
      <w:r w:rsidR="00D97B0F" w:rsidRPr="004B287E">
        <w:t>nu</w:t>
      </w:r>
      <w:r w:rsidR="008E6904" w:rsidRPr="004B287E">
        <w:t xml:space="preserve"> </w:t>
      </w:r>
      <w:r w:rsidR="00116235" w:rsidRPr="004B287E">
        <w:t>bilmektedir.</w:t>
      </w:r>
      <w:r w:rsidR="00D97B0F" w:rsidRPr="004B287E">
        <w:t xml:space="preserve"> İşçi Sağlığı ve İş Güvenliği (İSİG) Meclisi</w:t>
      </w:r>
      <w:r w:rsidR="00E65B09" w:rsidRPr="004B287E">
        <w:t xml:space="preserve"> (2018)</w:t>
      </w:r>
      <w:r w:rsidR="00D97B0F" w:rsidRPr="004B287E">
        <w:t>, sahip olduğu sınırlı veri toplama olanaklarıyla, 2017 yılında en az 2006 iş cinayeti tespit etmiştir</w:t>
      </w:r>
      <w:r w:rsidR="00D97B0F" w:rsidRPr="004B287E">
        <w:rPr>
          <w:rStyle w:val="DipnotBavurusu"/>
        </w:rPr>
        <w:footnoteReference w:id="1"/>
      </w:r>
      <w:r w:rsidR="00D97B0F" w:rsidRPr="004B287E">
        <w:t xml:space="preserve">. </w:t>
      </w:r>
    </w:p>
    <w:p w:rsidR="00116235" w:rsidRPr="004B287E" w:rsidRDefault="005C5E30" w:rsidP="00AE750A">
      <w:pPr>
        <w:ind w:firstLine="567"/>
        <w:jc w:val="both"/>
      </w:pPr>
      <w:r w:rsidRPr="004B287E">
        <w:lastRenderedPageBreak/>
        <w:t>Raporumuzun sonraki bölümlerinde genel olarak işçilerin (4-1/a kapsamı)</w:t>
      </w:r>
      <w:r w:rsidR="00E65B09" w:rsidRPr="004B287E">
        <w:t xml:space="preserve"> </w:t>
      </w:r>
      <w:r w:rsidRPr="004B287E">
        <w:t>verileri üzerinde durulacaktır. Bunun bir nedeni bağımsız çalışanlara ilişkin</w:t>
      </w:r>
      <w:r w:rsidR="00BE5F33" w:rsidRPr="004B287E">
        <w:t xml:space="preserve"> verilerin çok zayıf olması, d</w:t>
      </w:r>
      <w:r w:rsidRPr="004B287E">
        <w:t>iğer nedeni ise</w:t>
      </w:r>
      <w:r w:rsidR="00E52945" w:rsidRPr="004B287E">
        <w:t xml:space="preserve"> geçmiş yıllarla karşılaştırmanın mümkün olmasıdır. </w:t>
      </w:r>
      <w:r w:rsidRPr="004B287E">
        <w:t xml:space="preserve"> </w:t>
      </w:r>
    </w:p>
    <w:p w:rsidR="0073571D" w:rsidRPr="004B287E" w:rsidRDefault="0073571D" w:rsidP="00A6168D">
      <w:pPr>
        <w:pStyle w:val="Balk3"/>
        <w:numPr>
          <w:ilvl w:val="1"/>
          <w:numId w:val="10"/>
        </w:numPr>
      </w:pPr>
      <w:bookmarkStart w:id="10" w:name="_Toc536280779"/>
      <w:r w:rsidRPr="004B287E">
        <w:t>Uzun Dönemli Değişimler</w:t>
      </w:r>
      <w:bookmarkEnd w:id="10"/>
    </w:p>
    <w:p w:rsidR="0073571D" w:rsidRPr="004B287E" w:rsidRDefault="00F25AD4" w:rsidP="00AE750A">
      <w:pPr>
        <w:ind w:firstLine="567"/>
        <w:jc w:val="both"/>
      </w:pPr>
      <w:r w:rsidRPr="004B287E">
        <w:t>Ülkemizde SGK (öncesinde SSK) verileri sağlıklı olmadığından dolayı uzun dönemli karşılaştırmalar yapmak yeterince sağlıklı sonuçlar vermeme riski taşımaktadır. Ancak</w:t>
      </w:r>
      <w:r w:rsidR="00B31F63" w:rsidRPr="004B287E">
        <w:t>,</w:t>
      </w:r>
      <w:r w:rsidRPr="004B287E">
        <w:t xml:space="preserve"> </w:t>
      </w:r>
      <w:r w:rsidR="00B31F63" w:rsidRPr="004B287E">
        <w:t>alternatif veri kaynakları yeterli olmadığı için, erişilen</w:t>
      </w:r>
      <w:r w:rsidRPr="004B287E">
        <w:t xml:space="preserve"> verileri </w:t>
      </w:r>
      <w:r w:rsidR="00B31F63" w:rsidRPr="004B287E">
        <w:t>aktarmakta</w:t>
      </w:r>
      <w:r w:rsidRPr="004B287E">
        <w:t xml:space="preserve"> yarar bulunmaktadır. </w:t>
      </w:r>
    </w:p>
    <w:p w:rsidR="00CC6E03" w:rsidRPr="004B287E" w:rsidRDefault="00CC6E03" w:rsidP="00CC6E03">
      <w:pPr>
        <w:ind w:firstLine="567"/>
        <w:jc w:val="both"/>
      </w:pPr>
      <w:r w:rsidRPr="004B287E">
        <w:t xml:space="preserve">Grafik-1'de aktarılan verilere göre Türkiye'de 1691-1975 döneminde </w:t>
      </w:r>
      <w:proofErr w:type="spellStart"/>
      <w:r w:rsidRPr="004B287E">
        <w:t>yüzbin</w:t>
      </w:r>
      <w:proofErr w:type="spellEnd"/>
      <w:r w:rsidRPr="004B287E">
        <w:t xml:space="preserve"> işçide iş kazası oranı 10 bin civarında seyretmektedir. Yani her 10 işçiden birisinin iş kazası geçirdiği kayıtlara geçmektedir. 1980'e gelindiğinde ise iş kazalarında hızlı bir azalma eğilimi görülerek 1995'te 2.112'ye, 2012'de ise 550'ye düşmüştür.  Ancak 2013 yılından itibaren sunulan verilerin değişmesi ve getirilen düzenlemelerle iş kazası bildirimi sayısı artarak </w:t>
      </w:r>
      <w:proofErr w:type="spellStart"/>
      <w:r w:rsidRPr="004B287E">
        <w:t>yüzbin</w:t>
      </w:r>
      <w:proofErr w:type="spellEnd"/>
      <w:r w:rsidRPr="004B287E">
        <w:t xml:space="preserve"> kişide 2.240'a yükselmiştir. </w:t>
      </w:r>
    </w:p>
    <w:p w:rsidR="00F25AD4" w:rsidRPr="004B287E" w:rsidRDefault="00F25AD4" w:rsidP="00D65C41">
      <w:pPr>
        <w:pStyle w:val="TabloBal"/>
        <w:rPr>
          <w:color w:val="auto"/>
        </w:rPr>
      </w:pPr>
      <w:bookmarkStart w:id="11" w:name="_Toc536279461"/>
      <w:r w:rsidRPr="004B287E">
        <w:rPr>
          <w:b/>
          <w:color w:val="auto"/>
        </w:rPr>
        <w:t>Grafik-</w:t>
      </w:r>
      <w:r w:rsidR="005011BA" w:rsidRPr="004B287E">
        <w:rPr>
          <w:b/>
          <w:color w:val="auto"/>
        </w:rPr>
        <w:t>1</w:t>
      </w:r>
      <w:r w:rsidRPr="004B287E">
        <w:rPr>
          <w:color w:val="auto"/>
        </w:rPr>
        <w:t xml:space="preserve">: </w:t>
      </w:r>
      <w:r w:rsidR="00B231CE" w:rsidRPr="004B287E">
        <w:rPr>
          <w:color w:val="auto"/>
        </w:rPr>
        <w:t>Türkiye'de iş kazası oranı; 1961</w:t>
      </w:r>
      <w:r w:rsidRPr="004B287E">
        <w:rPr>
          <w:color w:val="auto"/>
        </w:rPr>
        <w:t>-201</w:t>
      </w:r>
      <w:r w:rsidR="00B231CE" w:rsidRPr="004B287E">
        <w:rPr>
          <w:color w:val="auto"/>
        </w:rPr>
        <w:t>7</w:t>
      </w:r>
      <w:bookmarkEnd w:id="11"/>
    </w:p>
    <w:p w:rsidR="0073571D" w:rsidRPr="004B287E" w:rsidRDefault="008936AA">
      <w:r w:rsidRPr="004B287E">
        <w:rPr>
          <w:noProof/>
          <w:lang w:eastAsia="tr-TR"/>
        </w:rPr>
        <w:drawing>
          <wp:inline distT="0" distB="0" distL="0" distR="0">
            <wp:extent cx="5736566" cy="2786332"/>
            <wp:effectExtent l="0" t="0" r="17145" b="1460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571D" w:rsidRPr="004B287E" w:rsidRDefault="0073571D">
      <w:r w:rsidRPr="004B287E">
        <w:rPr>
          <w:b/>
        </w:rPr>
        <w:t>Kaynak</w:t>
      </w:r>
      <w:r w:rsidRPr="004B287E">
        <w:t xml:space="preserve">: </w:t>
      </w:r>
      <w:r w:rsidR="00B7103F" w:rsidRPr="004B287E">
        <w:t xml:space="preserve">1965-2010 dönemi verileri </w:t>
      </w:r>
      <w:r w:rsidRPr="004B287E">
        <w:rPr>
          <w:i/>
        </w:rPr>
        <w:t xml:space="preserve">R. Güven. 2012. Dünyada ve Ülkemizde Meslek Hastalıkları. </w:t>
      </w:r>
      <w:proofErr w:type="gramStart"/>
      <w:r w:rsidRPr="004B287E">
        <w:rPr>
          <w:i/>
        </w:rPr>
        <w:t>s</w:t>
      </w:r>
      <w:proofErr w:type="gramEnd"/>
      <w:r w:rsidRPr="004B287E">
        <w:rPr>
          <w:i/>
        </w:rPr>
        <w:t>. 11</w:t>
      </w:r>
      <w:r w:rsidR="00B7103F" w:rsidRPr="004B287E">
        <w:rPr>
          <w:i/>
        </w:rPr>
        <w:t>. 2012-2017 verileri SGK istatistiklerinden alınmıştır.</w:t>
      </w:r>
    </w:p>
    <w:p w:rsidR="00F25AD4" w:rsidRPr="004B287E" w:rsidRDefault="00F37EDC" w:rsidP="00AE750A">
      <w:pPr>
        <w:ind w:firstLine="567"/>
        <w:jc w:val="both"/>
      </w:pPr>
      <w:r w:rsidRPr="004B287E">
        <w:t>Ülkedeki toplumsal, ekonomik, siyasal değişiklikler</w:t>
      </w:r>
      <w:r w:rsidR="00F34405" w:rsidRPr="004B287E">
        <w:t xml:space="preserve"> </w:t>
      </w:r>
      <w:r w:rsidRPr="004B287E">
        <w:t>işçi sağlığı ve i</w:t>
      </w:r>
      <w:r w:rsidR="00CC6E03" w:rsidRPr="004B287E">
        <w:t>ş güvenliği koşullarını etkilemekted</w:t>
      </w:r>
      <w:r w:rsidRPr="004B287E">
        <w:t xml:space="preserve">ir. </w:t>
      </w:r>
      <w:r w:rsidR="00A026C7" w:rsidRPr="004B287E">
        <w:t>Uzun vadede iş kazaları oranlarının azalma eğiliminde olması beklenen bir durumdur. Ancak g</w:t>
      </w:r>
      <w:r w:rsidR="00B7103F" w:rsidRPr="004B287E">
        <w:t>rafikte görülen değişimlerin ülkedeki siyasal/toplumsal iklim, işçi sınıfının örgütlülük düzeyi, sigorta kapsamındaki işçi sayısı, teknolojideki değişim gibi olgularla bağını</w:t>
      </w:r>
      <w:r w:rsidR="00623320" w:rsidRPr="004B287E">
        <w:t>,</w:t>
      </w:r>
      <w:r w:rsidR="00B7103F" w:rsidRPr="004B287E">
        <w:t xml:space="preserve"> bizim bu çalışma için eriştiğimiz verilerle</w:t>
      </w:r>
      <w:r w:rsidR="00623320" w:rsidRPr="004B287E">
        <w:t>,</w:t>
      </w:r>
      <w:r w:rsidR="00B7103F" w:rsidRPr="004B287E">
        <w:t xml:space="preserve"> kurmak mümkün değildir. </w:t>
      </w:r>
    </w:p>
    <w:p w:rsidR="00BE5F33" w:rsidRPr="004B287E" w:rsidRDefault="00BE5F33" w:rsidP="00A6168D">
      <w:pPr>
        <w:pStyle w:val="Balk3"/>
        <w:numPr>
          <w:ilvl w:val="1"/>
          <w:numId w:val="10"/>
        </w:numPr>
      </w:pPr>
      <w:bookmarkStart w:id="12" w:name="_Toc536280780"/>
      <w:r w:rsidRPr="004B287E">
        <w:lastRenderedPageBreak/>
        <w:t>İş Kazası Sıklık ve Ağırlık Hızları</w:t>
      </w:r>
      <w:bookmarkEnd w:id="12"/>
    </w:p>
    <w:p w:rsidR="00B7103F" w:rsidRPr="004B287E" w:rsidRDefault="00B7103F" w:rsidP="007104AF">
      <w:pPr>
        <w:ind w:firstLine="567"/>
        <w:jc w:val="both"/>
      </w:pPr>
      <w:r w:rsidRPr="004B287E">
        <w:t>2012-2017 dönemi için iş kazası sıklık ve ağırlık hızları Tablo-</w:t>
      </w:r>
      <w:r w:rsidR="005011BA" w:rsidRPr="004B287E">
        <w:t>3</w:t>
      </w:r>
      <w:r w:rsidRPr="004B287E">
        <w:t xml:space="preserve">'te sunulmaktadır. </w:t>
      </w:r>
      <w:r w:rsidR="00B231CE" w:rsidRPr="004B287E">
        <w:t xml:space="preserve">2013 verileri öncesinde </w:t>
      </w:r>
      <w:proofErr w:type="spellStart"/>
      <w:r w:rsidR="00B231CE" w:rsidRPr="004B287E">
        <w:t>SGK'nın</w:t>
      </w:r>
      <w:proofErr w:type="spellEnd"/>
      <w:r w:rsidR="00B231CE" w:rsidRPr="004B287E">
        <w:t xml:space="preserve"> v</w:t>
      </w:r>
      <w:r w:rsidRPr="004B287E">
        <w:t xml:space="preserve">eri derleme </w:t>
      </w:r>
      <w:r w:rsidR="00B231CE" w:rsidRPr="004B287E">
        <w:t xml:space="preserve">ve yayınlama </w:t>
      </w:r>
      <w:r w:rsidRPr="004B287E">
        <w:t xml:space="preserve">yöntemi farklı olduğu için 2012 yılının iş kazası geçiren sigortalı sayılarıyla buna bağlı olarak yapılan hesaplamalar değerlendirmede göz önüne alınmayacaktır. Ancak </w:t>
      </w:r>
      <w:r w:rsidR="00C2226E" w:rsidRPr="004B287E">
        <w:t xml:space="preserve">veri sunma yönteminin değişmesiyle yaşanılan değişimin görülebilmesi için tabloda 2012 yılına da yer verilmiştir. </w:t>
      </w:r>
    </w:p>
    <w:p w:rsidR="00B231CE" w:rsidRPr="004B287E" w:rsidRDefault="00B231CE" w:rsidP="007104AF">
      <w:pPr>
        <w:ind w:firstLine="567"/>
        <w:jc w:val="both"/>
      </w:pPr>
      <w:r w:rsidRPr="004B287E">
        <w:t xml:space="preserve">2012-2017 döneminde iş kazası sıklık ve ağırlık hızlarının verildiği tablodaki veriler genel olarak bozulmuş görünmektedir. 1 milyon iş saatinde iş kazası sıklık hızı 2013 yılında 5,88 iken 2017'de 9,94'e yükselmiştir. İş kazası ağırlık hızı da aynı dönemde 507 günden 973 güne çıkmıştır. Genel olarak iş kazası sonucu ölümlerin azalması, iş kazası sıklık ve ağırlık hızı gibi verilerin yıldan yıla iyileşmesi beklenmelidir. İSİG Meclisi'nin derlediği iş cinayeti verileri de işçi sağlığı ve iş güvenliği açısından iyileşme bir yana bozulmanın sürdüğünü göstermektedir. </w:t>
      </w:r>
    </w:p>
    <w:p w:rsidR="008936AA" w:rsidRPr="004B287E" w:rsidRDefault="008936AA" w:rsidP="00D65C41">
      <w:pPr>
        <w:pStyle w:val="TabloBal"/>
        <w:rPr>
          <w:color w:val="auto"/>
        </w:rPr>
      </w:pPr>
      <w:bookmarkStart w:id="13" w:name="_Toc536279462"/>
      <w:r w:rsidRPr="004B287E">
        <w:rPr>
          <w:b/>
          <w:color w:val="auto"/>
        </w:rPr>
        <w:t>Tablo-</w:t>
      </w:r>
      <w:r w:rsidR="005011BA" w:rsidRPr="004B287E">
        <w:rPr>
          <w:b/>
          <w:color w:val="auto"/>
        </w:rPr>
        <w:t>3</w:t>
      </w:r>
      <w:r w:rsidRPr="004B287E">
        <w:rPr>
          <w:color w:val="auto"/>
        </w:rPr>
        <w:t>: İş Kazası Sıklık ve Ağırlık Hızları</w:t>
      </w:r>
      <w:r w:rsidR="00C2226E" w:rsidRPr="004B287E">
        <w:rPr>
          <w:color w:val="auto"/>
        </w:rPr>
        <w:t>,</w:t>
      </w:r>
      <w:r w:rsidRPr="004B287E">
        <w:rPr>
          <w:color w:val="auto"/>
        </w:rPr>
        <w:t xml:space="preserve"> 2012 - 2017</w:t>
      </w:r>
      <w:bookmarkEnd w:id="13"/>
    </w:p>
    <w:tbl>
      <w:tblPr>
        <w:tblStyle w:val="TabloKlavuzu"/>
        <w:tblW w:w="9555" w:type="dxa"/>
        <w:tblCellMar>
          <w:left w:w="57" w:type="dxa"/>
          <w:right w:w="57" w:type="dxa"/>
        </w:tblCellMar>
        <w:tblLook w:val="04A0"/>
      </w:tblPr>
      <w:tblGrid>
        <w:gridCol w:w="894"/>
        <w:gridCol w:w="156"/>
        <w:gridCol w:w="992"/>
        <w:gridCol w:w="1134"/>
        <w:gridCol w:w="1276"/>
        <w:gridCol w:w="1276"/>
        <w:gridCol w:w="1275"/>
        <w:gridCol w:w="1134"/>
        <w:gridCol w:w="1418"/>
      </w:tblGrid>
      <w:tr w:rsidR="00CE4C4B" w:rsidRPr="004B287E" w:rsidTr="00E936C8">
        <w:tc>
          <w:tcPr>
            <w:tcW w:w="2042" w:type="dxa"/>
            <w:gridSpan w:val="3"/>
          </w:tcPr>
          <w:p w:rsidR="008936AA" w:rsidRPr="004B287E" w:rsidRDefault="008936AA" w:rsidP="00E936C8">
            <w:pPr>
              <w:jc w:val="center"/>
              <w:rPr>
                <w:b/>
              </w:rPr>
            </w:pPr>
            <w:r w:rsidRPr="004B287E">
              <w:rPr>
                <w:b/>
              </w:rPr>
              <w:t>Kategori</w:t>
            </w:r>
          </w:p>
        </w:tc>
        <w:tc>
          <w:tcPr>
            <w:tcW w:w="1134" w:type="dxa"/>
          </w:tcPr>
          <w:p w:rsidR="008936AA" w:rsidRPr="004B287E" w:rsidRDefault="008936AA" w:rsidP="00E936C8">
            <w:pPr>
              <w:jc w:val="center"/>
              <w:rPr>
                <w:b/>
              </w:rPr>
            </w:pPr>
            <w:r w:rsidRPr="004B287E">
              <w:rPr>
                <w:b/>
              </w:rPr>
              <w:t>2012</w:t>
            </w:r>
            <w:r w:rsidRPr="004B287E">
              <w:t>*</w:t>
            </w:r>
          </w:p>
        </w:tc>
        <w:tc>
          <w:tcPr>
            <w:tcW w:w="1276" w:type="dxa"/>
          </w:tcPr>
          <w:p w:rsidR="008936AA" w:rsidRPr="004B287E" w:rsidRDefault="008936AA" w:rsidP="00E936C8">
            <w:pPr>
              <w:jc w:val="center"/>
              <w:rPr>
                <w:b/>
              </w:rPr>
            </w:pPr>
            <w:r w:rsidRPr="004B287E">
              <w:rPr>
                <w:b/>
              </w:rPr>
              <w:t>2013</w:t>
            </w:r>
          </w:p>
        </w:tc>
        <w:tc>
          <w:tcPr>
            <w:tcW w:w="1276" w:type="dxa"/>
          </w:tcPr>
          <w:p w:rsidR="008936AA" w:rsidRPr="004B287E" w:rsidRDefault="008936AA" w:rsidP="00E936C8">
            <w:pPr>
              <w:jc w:val="center"/>
              <w:rPr>
                <w:b/>
              </w:rPr>
            </w:pPr>
            <w:r w:rsidRPr="004B287E">
              <w:rPr>
                <w:b/>
              </w:rPr>
              <w:t>2014</w:t>
            </w:r>
          </w:p>
        </w:tc>
        <w:tc>
          <w:tcPr>
            <w:tcW w:w="1275" w:type="dxa"/>
          </w:tcPr>
          <w:p w:rsidR="008936AA" w:rsidRPr="004B287E" w:rsidRDefault="008936AA" w:rsidP="00E936C8">
            <w:pPr>
              <w:jc w:val="center"/>
              <w:rPr>
                <w:b/>
              </w:rPr>
            </w:pPr>
            <w:r w:rsidRPr="004B287E">
              <w:rPr>
                <w:b/>
              </w:rPr>
              <w:t>2015</w:t>
            </w:r>
          </w:p>
        </w:tc>
        <w:tc>
          <w:tcPr>
            <w:tcW w:w="1134" w:type="dxa"/>
          </w:tcPr>
          <w:p w:rsidR="008936AA" w:rsidRPr="004B287E" w:rsidRDefault="008936AA" w:rsidP="00E936C8">
            <w:pPr>
              <w:jc w:val="center"/>
              <w:rPr>
                <w:b/>
              </w:rPr>
            </w:pPr>
            <w:r w:rsidRPr="004B287E">
              <w:rPr>
                <w:b/>
              </w:rPr>
              <w:t>2016</w:t>
            </w:r>
          </w:p>
        </w:tc>
        <w:tc>
          <w:tcPr>
            <w:tcW w:w="1418" w:type="dxa"/>
          </w:tcPr>
          <w:p w:rsidR="008936AA" w:rsidRPr="004B287E" w:rsidRDefault="008936AA" w:rsidP="00E936C8">
            <w:pPr>
              <w:jc w:val="center"/>
              <w:rPr>
                <w:b/>
              </w:rPr>
            </w:pPr>
            <w:r w:rsidRPr="004B287E">
              <w:rPr>
                <w:b/>
              </w:rPr>
              <w:t>2017</w:t>
            </w:r>
          </w:p>
        </w:tc>
      </w:tr>
      <w:tr w:rsidR="00CE4C4B" w:rsidRPr="004B287E" w:rsidTr="00A026C7">
        <w:tc>
          <w:tcPr>
            <w:tcW w:w="2042" w:type="dxa"/>
            <w:gridSpan w:val="3"/>
          </w:tcPr>
          <w:p w:rsidR="008936AA" w:rsidRPr="004B287E" w:rsidRDefault="008936AA" w:rsidP="00E936C8">
            <w:r w:rsidRPr="004B287E">
              <w:t>İş kazası geçiren sigortalı sayısı</w:t>
            </w:r>
          </w:p>
        </w:tc>
        <w:tc>
          <w:tcPr>
            <w:tcW w:w="1134" w:type="dxa"/>
            <w:vAlign w:val="center"/>
          </w:tcPr>
          <w:p w:rsidR="008936AA" w:rsidRPr="004B287E" w:rsidRDefault="008936AA" w:rsidP="00A026C7">
            <w:pPr>
              <w:jc w:val="right"/>
            </w:pPr>
            <w:r w:rsidRPr="004B287E">
              <w:t>74.871</w:t>
            </w:r>
          </w:p>
        </w:tc>
        <w:tc>
          <w:tcPr>
            <w:tcW w:w="1276" w:type="dxa"/>
            <w:vAlign w:val="center"/>
          </w:tcPr>
          <w:p w:rsidR="008936AA" w:rsidRPr="004B287E" w:rsidRDefault="008936AA" w:rsidP="00A026C7">
            <w:pPr>
              <w:jc w:val="right"/>
            </w:pPr>
            <w:r w:rsidRPr="004B287E">
              <w:t>191.389</w:t>
            </w:r>
          </w:p>
        </w:tc>
        <w:tc>
          <w:tcPr>
            <w:tcW w:w="1276" w:type="dxa"/>
            <w:vAlign w:val="center"/>
          </w:tcPr>
          <w:p w:rsidR="008936AA" w:rsidRPr="004B287E" w:rsidRDefault="008936AA" w:rsidP="00A026C7">
            <w:pPr>
              <w:jc w:val="right"/>
            </w:pPr>
            <w:r w:rsidRPr="004B287E">
              <w:t>221.366</w:t>
            </w:r>
          </w:p>
        </w:tc>
        <w:tc>
          <w:tcPr>
            <w:tcW w:w="1275" w:type="dxa"/>
            <w:vAlign w:val="center"/>
          </w:tcPr>
          <w:p w:rsidR="008936AA" w:rsidRPr="004B287E" w:rsidRDefault="008936AA" w:rsidP="00A026C7">
            <w:pPr>
              <w:jc w:val="right"/>
            </w:pPr>
            <w:r w:rsidRPr="004B287E">
              <w:t>241.547</w:t>
            </w:r>
          </w:p>
        </w:tc>
        <w:tc>
          <w:tcPr>
            <w:tcW w:w="1134" w:type="dxa"/>
            <w:vAlign w:val="center"/>
          </w:tcPr>
          <w:p w:rsidR="008936AA" w:rsidRPr="004B287E" w:rsidRDefault="008936AA" w:rsidP="00A026C7">
            <w:pPr>
              <w:jc w:val="right"/>
            </w:pPr>
            <w:r w:rsidRPr="004B287E">
              <w:t>286.068</w:t>
            </w:r>
          </w:p>
        </w:tc>
        <w:tc>
          <w:tcPr>
            <w:tcW w:w="1418" w:type="dxa"/>
            <w:vAlign w:val="center"/>
          </w:tcPr>
          <w:p w:rsidR="008936AA" w:rsidRPr="004B287E" w:rsidRDefault="008936AA" w:rsidP="00A026C7">
            <w:pPr>
              <w:jc w:val="right"/>
            </w:pPr>
            <w:r w:rsidRPr="004B287E">
              <w:t>359.653</w:t>
            </w:r>
          </w:p>
        </w:tc>
      </w:tr>
      <w:tr w:rsidR="00CE4C4B" w:rsidRPr="004B287E" w:rsidTr="00A026C7">
        <w:tc>
          <w:tcPr>
            <w:tcW w:w="2042" w:type="dxa"/>
            <w:gridSpan w:val="3"/>
          </w:tcPr>
          <w:p w:rsidR="008936AA" w:rsidRPr="004B287E" w:rsidRDefault="008936AA" w:rsidP="00E936C8">
            <w:r w:rsidRPr="004B287E">
              <w:t>Yıllık toplam prim tahakkuk eden gün sayısı (x1.000)</w:t>
            </w:r>
          </w:p>
        </w:tc>
        <w:tc>
          <w:tcPr>
            <w:tcW w:w="1134" w:type="dxa"/>
            <w:vAlign w:val="center"/>
          </w:tcPr>
          <w:p w:rsidR="008936AA" w:rsidRPr="004B287E" w:rsidRDefault="008936AA" w:rsidP="00A026C7">
            <w:pPr>
              <w:jc w:val="right"/>
            </w:pPr>
            <w:r w:rsidRPr="004B287E">
              <w:t>3.855.795</w:t>
            </w:r>
          </w:p>
        </w:tc>
        <w:tc>
          <w:tcPr>
            <w:tcW w:w="1276" w:type="dxa"/>
            <w:vAlign w:val="center"/>
          </w:tcPr>
          <w:p w:rsidR="008936AA" w:rsidRPr="004B287E" w:rsidRDefault="008936AA" w:rsidP="00A026C7">
            <w:pPr>
              <w:jc w:val="right"/>
            </w:pPr>
            <w:r w:rsidRPr="004B287E">
              <w:t>4.069.832</w:t>
            </w:r>
          </w:p>
        </w:tc>
        <w:tc>
          <w:tcPr>
            <w:tcW w:w="1276" w:type="dxa"/>
            <w:vAlign w:val="center"/>
          </w:tcPr>
          <w:p w:rsidR="008936AA" w:rsidRPr="004B287E" w:rsidRDefault="008936AA" w:rsidP="00A026C7">
            <w:pPr>
              <w:jc w:val="right"/>
            </w:pPr>
            <w:r w:rsidRPr="004B287E">
              <w:t>4.248.428</w:t>
            </w:r>
          </w:p>
        </w:tc>
        <w:tc>
          <w:tcPr>
            <w:tcW w:w="1275" w:type="dxa"/>
            <w:vAlign w:val="center"/>
          </w:tcPr>
          <w:p w:rsidR="008936AA" w:rsidRPr="004B287E" w:rsidRDefault="008936AA" w:rsidP="00A026C7">
            <w:pPr>
              <w:jc w:val="right"/>
            </w:pPr>
            <w:r w:rsidRPr="004B287E">
              <w:t>4.462.091</w:t>
            </w:r>
          </w:p>
        </w:tc>
        <w:tc>
          <w:tcPr>
            <w:tcW w:w="1134" w:type="dxa"/>
            <w:vAlign w:val="center"/>
          </w:tcPr>
          <w:p w:rsidR="008936AA" w:rsidRPr="004B287E" w:rsidRDefault="008936AA" w:rsidP="00A026C7">
            <w:pPr>
              <w:jc w:val="right"/>
            </w:pPr>
            <w:r w:rsidRPr="004B287E">
              <w:t>4.524.502</w:t>
            </w:r>
          </w:p>
        </w:tc>
        <w:tc>
          <w:tcPr>
            <w:tcW w:w="1418" w:type="dxa"/>
            <w:vAlign w:val="center"/>
          </w:tcPr>
          <w:p w:rsidR="008936AA" w:rsidRPr="004B287E" w:rsidRDefault="008936AA" w:rsidP="00A026C7">
            <w:pPr>
              <w:jc w:val="right"/>
            </w:pPr>
            <w:r w:rsidRPr="004B287E">
              <w:t>4.524.384</w:t>
            </w:r>
          </w:p>
        </w:tc>
      </w:tr>
      <w:tr w:rsidR="00CE4C4B" w:rsidRPr="004B287E" w:rsidTr="00A026C7">
        <w:tc>
          <w:tcPr>
            <w:tcW w:w="894" w:type="dxa"/>
            <w:vMerge w:val="restart"/>
          </w:tcPr>
          <w:p w:rsidR="008936AA" w:rsidRPr="004B287E" w:rsidRDefault="008936AA" w:rsidP="00E936C8">
            <w:r w:rsidRPr="004B287E">
              <w:t>İş kazası sıklık hızı</w:t>
            </w:r>
          </w:p>
        </w:tc>
        <w:tc>
          <w:tcPr>
            <w:tcW w:w="1148" w:type="dxa"/>
            <w:gridSpan w:val="2"/>
          </w:tcPr>
          <w:p w:rsidR="008936AA" w:rsidRPr="004B287E" w:rsidRDefault="008936AA" w:rsidP="00E936C8">
            <w:r w:rsidRPr="004B287E">
              <w:t>1.000.000 iş saati</w:t>
            </w:r>
          </w:p>
        </w:tc>
        <w:tc>
          <w:tcPr>
            <w:tcW w:w="1134" w:type="dxa"/>
            <w:vAlign w:val="center"/>
          </w:tcPr>
          <w:p w:rsidR="008936AA" w:rsidRPr="004B287E" w:rsidRDefault="008936AA" w:rsidP="00A026C7">
            <w:pPr>
              <w:jc w:val="right"/>
            </w:pPr>
            <w:r w:rsidRPr="004B287E">
              <w:t>2,43</w:t>
            </w:r>
          </w:p>
        </w:tc>
        <w:tc>
          <w:tcPr>
            <w:tcW w:w="1276" w:type="dxa"/>
            <w:vAlign w:val="center"/>
          </w:tcPr>
          <w:p w:rsidR="008936AA" w:rsidRPr="004B287E" w:rsidRDefault="008936AA" w:rsidP="00A026C7">
            <w:pPr>
              <w:jc w:val="right"/>
            </w:pPr>
            <w:r w:rsidRPr="004B287E">
              <w:t>5,88</w:t>
            </w:r>
          </w:p>
        </w:tc>
        <w:tc>
          <w:tcPr>
            <w:tcW w:w="1276" w:type="dxa"/>
            <w:vAlign w:val="center"/>
          </w:tcPr>
          <w:p w:rsidR="008936AA" w:rsidRPr="004B287E" w:rsidRDefault="008936AA" w:rsidP="00A026C7">
            <w:pPr>
              <w:jc w:val="right"/>
            </w:pPr>
            <w:r w:rsidRPr="004B287E">
              <w:t>6,51</w:t>
            </w:r>
          </w:p>
        </w:tc>
        <w:tc>
          <w:tcPr>
            <w:tcW w:w="1275" w:type="dxa"/>
            <w:vAlign w:val="center"/>
          </w:tcPr>
          <w:p w:rsidR="008936AA" w:rsidRPr="004B287E" w:rsidRDefault="008936AA" w:rsidP="00A026C7">
            <w:pPr>
              <w:jc w:val="right"/>
            </w:pPr>
            <w:r w:rsidRPr="004B287E">
              <w:t>6,77</w:t>
            </w:r>
          </w:p>
        </w:tc>
        <w:tc>
          <w:tcPr>
            <w:tcW w:w="1134" w:type="dxa"/>
            <w:vAlign w:val="center"/>
          </w:tcPr>
          <w:p w:rsidR="008936AA" w:rsidRPr="004B287E" w:rsidRDefault="008936AA" w:rsidP="00A026C7">
            <w:pPr>
              <w:jc w:val="right"/>
            </w:pPr>
            <w:r w:rsidRPr="004B287E">
              <w:t>7,9</w:t>
            </w:r>
          </w:p>
        </w:tc>
        <w:tc>
          <w:tcPr>
            <w:tcW w:w="1418" w:type="dxa"/>
            <w:vAlign w:val="center"/>
          </w:tcPr>
          <w:p w:rsidR="008936AA" w:rsidRPr="004B287E" w:rsidRDefault="008936AA" w:rsidP="00A026C7">
            <w:pPr>
              <w:jc w:val="right"/>
            </w:pPr>
            <w:r w:rsidRPr="004B287E">
              <w:t>9,94</w:t>
            </w:r>
          </w:p>
        </w:tc>
      </w:tr>
      <w:tr w:rsidR="00CE4C4B" w:rsidRPr="004B287E" w:rsidTr="00A026C7">
        <w:tc>
          <w:tcPr>
            <w:tcW w:w="894" w:type="dxa"/>
            <w:vMerge/>
          </w:tcPr>
          <w:p w:rsidR="008936AA" w:rsidRPr="004B287E" w:rsidRDefault="008936AA" w:rsidP="00E936C8"/>
        </w:tc>
        <w:tc>
          <w:tcPr>
            <w:tcW w:w="1148" w:type="dxa"/>
            <w:gridSpan w:val="2"/>
          </w:tcPr>
          <w:p w:rsidR="008936AA" w:rsidRPr="004B287E" w:rsidRDefault="008936AA" w:rsidP="00E936C8">
            <w:r w:rsidRPr="004B287E">
              <w:t>100 kişide</w:t>
            </w:r>
          </w:p>
        </w:tc>
        <w:tc>
          <w:tcPr>
            <w:tcW w:w="1134" w:type="dxa"/>
            <w:vAlign w:val="center"/>
          </w:tcPr>
          <w:p w:rsidR="008936AA" w:rsidRPr="004B287E" w:rsidRDefault="008936AA" w:rsidP="00A026C7">
            <w:pPr>
              <w:jc w:val="right"/>
            </w:pPr>
            <w:r w:rsidRPr="004B287E">
              <w:t>0,55</w:t>
            </w:r>
          </w:p>
        </w:tc>
        <w:tc>
          <w:tcPr>
            <w:tcW w:w="1276" w:type="dxa"/>
            <w:vAlign w:val="center"/>
          </w:tcPr>
          <w:p w:rsidR="008936AA" w:rsidRPr="004B287E" w:rsidRDefault="008936AA" w:rsidP="00A026C7">
            <w:pPr>
              <w:jc w:val="right"/>
            </w:pPr>
            <w:r w:rsidRPr="004B287E">
              <w:t>1,32</w:t>
            </w:r>
          </w:p>
        </w:tc>
        <w:tc>
          <w:tcPr>
            <w:tcW w:w="1276" w:type="dxa"/>
            <w:vAlign w:val="center"/>
          </w:tcPr>
          <w:p w:rsidR="008936AA" w:rsidRPr="004B287E" w:rsidRDefault="008936AA" w:rsidP="00A026C7">
            <w:pPr>
              <w:jc w:val="right"/>
            </w:pPr>
            <w:r w:rsidRPr="004B287E">
              <w:t>1,47</w:t>
            </w:r>
          </w:p>
        </w:tc>
        <w:tc>
          <w:tcPr>
            <w:tcW w:w="1275" w:type="dxa"/>
            <w:vAlign w:val="center"/>
          </w:tcPr>
          <w:p w:rsidR="008936AA" w:rsidRPr="004B287E" w:rsidRDefault="008936AA" w:rsidP="00A026C7">
            <w:pPr>
              <w:jc w:val="right"/>
            </w:pPr>
            <w:r w:rsidRPr="004B287E">
              <w:t>1,52</w:t>
            </w:r>
          </w:p>
        </w:tc>
        <w:tc>
          <w:tcPr>
            <w:tcW w:w="1134" w:type="dxa"/>
            <w:vAlign w:val="center"/>
          </w:tcPr>
          <w:p w:rsidR="008936AA" w:rsidRPr="004B287E" w:rsidRDefault="008936AA" w:rsidP="00A026C7">
            <w:pPr>
              <w:jc w:val="right"/>
            </w:pPr>
            <w:r w:rsidRPr="004B287E">
              <w:t>1,78</w:t>
            </w:r>
          </w:p>
        </w:tc>
        <w:tc>
          <w:tcPr>
            <w:tcW w:w="1418" w:type="dxa"/>
            <w:vAlign w:val="center"/>
          </w:tcPr>
          <w:p w:rsidR="008936AA" w:rsidRPr="004B287E" w:rsidRDefault="008936AA" w:rsidP="00A026C7">
            <w:pPr>
              <w:jc w:val="right"/>
            </w:pPr>
            <w:r w:rsidRPr="004B287E">
              <w:t>2,24</w:t>
            </w:r>
          </w:p>
        </w:tc>
      </w:tr>
      <w:tr w:rsidR="00CE4C4B" w:rsidRPr="004B287E" w:rsidTr="00A026C7">
        <w:tc>
          <w:tcPr>
            <w:tcW w:w="2042" w:type="dxa"/>
            <w:gridSpan w:val="3"/>
          </w:tcPr>
          <w:p w:rsidR="008936AA" w:rsidRPr="004B287E" w:rsidRDefault="008936AA" w:rsidP="00E936C8">
            <w:r w:rsidRPr="004B287E">
              <w:t>Geçici iş göremezlik süresi (gün)</w:t>
            </w:r>
          </w:p>
        </w:tc>
        <w:tc>
          <w:tcPr>
            <w:tcW w:w="1134" w:type="dxa"/>
            <w:vAlign w:val="center"/>
          </w:tcPr>
          <w:p w:rsidR="008936AA" w:rsidRPr="004B287E" w:rsidRDefault="008936AA" w:rsidP="00A026C7">
            <w:pPr>
              <w:jc w:val="right"/>
            </w:pPr>
            <w:r w:rsidRPr="004B287E">
              <w:t>1.647.127</w:t>
            </w:r>
          </w:p>
        </w:tc>
        <w:tc>
          <w:tcPr>
            <w:tcW w:w="1276" w:type="dxa"/>
            <w:vAlign w:val="center"/>
          </w:tcPr>
          <w:p w:rsidR="008936AA" w:rsidRPr="004B287E" w:rsidRDefault="008936AA" w:rsidP="00A026C7">
            <w:pPr>
              <w:jc w:val="right"/>
            </w:pPr>
            <w:r w:rsidRPr="004B287E">
              <w:t>2.357.505</w:t>
            </w:r>
          </w:p>
        </w:tc>
        <w:tc>
          <w:tcPr>
            <w:tcW w:w="1276" w:type="dxa"/>
            <w:vAlign w:val="center"/>
          </w:tcPr>
          <w:p w:rsidR="008936AA" w:rsidRPr="004B287E" w:rsidRDefault="008936AA" w:rsidP="00A026C7">
            <w:pPr>
              <w:jc w:val="right"/>
            </w:pPr>
            <w:r w:rsidRPr="004B287E">
              <w:t>2.065.962</w:t>
            </w:r>
          </w:p>
        </w:tc>
        <w:tc>
          <w:tcPr>
            <w:tcW w:w="1275" w:type="dxa"/>
            <w:vAlign w:val="center"/>
          </w:tcPr>
          <w:p w:rsidR="008936AA" w:rsidRPr="004B287E" w:rsidRDefault="008936AA" w:rsidP="00A026C7">
            <w:pPr>
              <w:jc w:val="right"/>
            </w:pPr>
            <w:r w:rsidRPr="004B287E">
              <w:t>2.992.070</w:t>
            </w:r>
          </w:p>
        </w:tc>
        <w:tc>
          <w:tcPr>
            <w:tcW w:w="1134" w:type="dxa"/>
            <w:vAlign w:val="center"/>
          </w:tcPr>
          <w:p w:rsidR="008936AA" w:rsidRPr="004B287E" w:rsidRDefault="008936AA" w:rsidP="00A026C7">
            <w:pPr>
              <w:jc w:val="right"/>
            </w:pPr>
            <w:r w:rsidRPr="004B287E">
              <w:t>3.453.702</w:t>
            </w:r>
          </w:p>
        </w:tc>
        <w:tc>
          <w:tcPr>
            <w:tcW w:w="1418" w:type="dxa"/>
            <w:vAlign w:val="center"/>
          </w:tcPr>
          <w:p w:rsidR="008936AA" w:rsidRPr="004B287E" w:rsidRDefault="008936AA" w:rsidP="00A026C7">
            <w:pPr>
              <w:jc w:val="right"/>
            </w:pPr>
            <w:r w:rsidRPr="004B287E">
              <w:t>3.996.873</w:t>
            </w:r>
          </w:p>
        </w:tc>
      </w:tr>
      <w:tr w:rsidR="00CE4C4B" w:rsidRPr="004B287E" w:rsidTr="00A026C7">
        <w:tc>
          <w:tcPr>
            <w:tcW w:w="2042" w:type="dxa"/>
            <w:gridSpan w:val="3"/>
          </w:tcPr>
          <w:p w:rsidR="008936AA" w:rsidRPr="004B287E" w:rsidRDefault="008936AA" w:rsidP="00E936C8">
            <w:r w:rsidRPr="004B287E">
              <w:t xml:space="preserve">Sürekli </w:t>
            </w:r>
            <w:proofErr w:type="spellStart"/>
            <w:r w:rsidRPr="004B287E">
              <w:t>işgöremezlik</w:t>
            </w:r>
            <w:proofErr w:type="spellEnd"/>
            <w:r w:rsidRPr="004B287E">
              <w:t xml:space="preserve"> derece toplamı</w:t>
            </w:r>
          </w:p>
        </w:tc>
        <w:tc>
          <w:tcPr>
            <w:tcW w:w="1134" w:type="dxa"/>
            <w:vAlign w:val="center"/>
          </w:tcPr>
          <w:p w:rsidR="008936AA" w:rsidRPr="004B287E" w:rsidRDefault="008936AA" w:rsidP="00A026C7">
            <w:pPr>
              <w:jc w:val="right"/>
            </w:pPr>
            <w:r w:rsidRPr="004B287E">
              <w:t>66.039</w:t>
            </w:r>
          </w:p>
        </w:tc>
        <w:tc>
          <w:tcPr>
            <w:tcW w:w="1276" w:type="dxa"/>
            <w:vAlign w:val="center"/>
          </w:tcPr>
          <w:p w:rsidR="008936AA" w:rsidRPr="004B287E" w:rsidRDefault="008936AA" w:rsidP="00A026C7">
            <w:pPr>
              <w:jc w:val="right"/>
            </w:pPr>
            <w:r w:rsidRPr="004B287E">
              <w:t>52.825</w:t>
            </w:r>
          </w:p>
        </w:tc>
        <w:tc>
          <w:tcPr>
            <w:tcW w:w="1276" w:type="dxa"/>
            <w:vAlign w:val="center"/>
          </w:tcPr>
          <w:p w:rsidR="008936AA" w:rsidRPr="004B287E" w:rsidRDefault="008936AA" w:rsidP="00A026C7">
            <w:pPr>
              <w:jc w:val="right"/>
            </w:pPr>
            <w:r w:rsidRPr="004B287E">
              <w:t>42.857</w:t>
            </w:r>
          </w:p>
        </w:tc>
        <w:tc>
          <w:tcPr>
            <w:tcW w:w="1275" w:type="dxa"/>
            <w:vAlign w:val="center"/>
          </w:tcPr>
          <w:p w:rsidR="008936AA" w:rsidRPr="004B287E" w:rsidRDefault="008936AA" w:rsidP="00A026C7">
            <w:pPr>
              <w:jc w:val="right"/>
            </w:pPr>
            <w:r w:rsidRPr="004B287E">
              <w:t>103.833</w:t>
            </w:r>
          </w:p>
        </w:tc>
        <w:tc>
          <w:tcPr>
            <w:tcW w:w="1134" w:type="dxa"/>
            <w:vAlign w:val="center"/>
          </w:tcPr>
          <w:p w:rsidR="008936AA" w:rsidRPr="004B287E" w:rsidRDefault="008936AA" w:rsidP="00A026C7">
            <w:pPr>
              <w:jc w:val="right"/>
            </w:pPr>
            <w:r w:rsidRPr="004B287E">
              <w:t>134.403</w:t>
            </w:r>
          </w:p>
        </w:tc>
        <w:tc>
          <w:tcPr>
            <w:tcW w:w="1418" w:type="dxa"/>
            <w:vAlign w:val="center"/>
          </w:tcPr>
          <w:p w:rsidR="008936AA" w:rsidRPr="004B287E" w:rsidRDefault="008936AA" w:rsidP="00A026C7">
            <w:pPr>
              <w:jc w:val="right"/>
            </w:pPr>
            <w:r w:rsidRPr="004B287E">
              <w:t>252.916</w:t>
            </w:r>
          </w:p>
        </w:tc>
      </w:tr>
      <w:tr w:rsidR="00CE4C4B" w:rsidRPr="004B287E" w:rsidTr="00A026C7">
        <w:tc>
          <w:tcPr>
            <w:tcW w:w="2042" w:type="dxa"/>
            <w:gridSpan w:val="3"/>
          </w:tcPr>
          <w:p w:rsidR="008936AA" w:rsidRPr="004B287E" w:rsidRDefault="008936AA" w:rsidP="00E936C8">
            <w:r w:rsidRPr="004B287E">
              <w:t>Ölüm vaka sayısı</w:t>
            </w:r>
          </w:p>
        </w:tc>
        <w:tc>
          <w:tcPr>
            <w:tcW w:w="1134" w:type="dxa"/>
            <w:vAlign w:val="center"/>
          </w:tcPr>
          <w:p w:rsidR="008936AA" w:rsidRPr="004B287E" w:rsidRDefault="008936AA" w:rsidP="00A026C7">
            <w:pPr>
              <w:jc w:val="right"/>
            </w:pPr>
            <w:r w:rsidRPr="004B287E">
              <w:t>744</w:t>
            </w:r>
          </w:p>
        </w:tc>
        <w:tc>
          <w:tcPr>
            <w:tcW w:w="1276" w:type="dxa"/>
            <w:vAlign w:val="center"/>
          </w:tcPr>
          <w:p w:rsidR="008936AA" w:rsidRPr="004B287E" w:rsidRDefault="008936AA" w:rsidP="00A026C7">
            <w:pPr>
              <w:jc w:val="right"/>
            </w:pPr>
            <w:r w:rsidRPr="004B287E">
              <w:t>1.360</w:t>
            </w:r>
          </w:p>
        </w:tc>
        <w:tc>
          <w:tcPr>
            <w:tcW w:w="1276" w:type="dxa"/>
            <w:vAlign w:val="center"/>
          </w:tcPr>
          <w:p w:rsidR="008936AA" w:rsidRPr="004B287E" w:rsidRDefault="008936AA" w:rsidP="00A026C7">
            <w:pPr>
              <w:jc w:val="right"/>
            </w:pPr>
            <w:r w:rsidRPr="004B287E">
              <w:t>1.626</w:t>
            </w:r>
          </w:p>
        </w:tc>
        <w:tc>
          <w:tcPr>
            <w:tcW w:w="1275" w:type="dxa"/>
            <w:vAlign w:val="center"/>
          </w:tcPr>
          <w:p w:rsidR="008936AA" w:rsidRPr="004B287E" w:rsidRDefault="008936AA" w:rsidP="00A026C7">
            <w:pPr>
              <w:jc w:val="right"/>
            </w:pPr>
            <w:r w:rsidRPr="004B287E">
              <w:t>1.252</w:t>
            </w:r>
          </w:p>
        </w:tc>
        <w:tc>
          <w:tcPr>
            <w:tcW w:w="1134" w:type="dxa"/>
            <w:vAlign w:val="center"/>
          </w:tcPr>
          <w:p w:rsidR="008936AA" w:rsidRPr="004B287E" w:rsidRDefault="008936AA" w:rsidP="00A026C7">
            <w:pPr>
              <w:jc w:val="right"/>
            </w:pPr>
            <w:r w:rsidRPr="004B287E">
              <w:t>1.405</w:t>
            </w:r>
          </w:p>
        </w:tc>
        <w:tc>
          <w:tcPr>
            <w:tcW w:w="1418" w:type="dxa"/>
            <w:vAlign w:val="center"/>
          </w:tcPr>
          <w:p w:rsidR="008936AA" w:rsidRPr="004B287E" w:rsidRDefault="008936AA" w:rsidP="00A026C7">
            <w:pPr>
              <w:jc w:val="right"/>
            </w:pPr>
            <w:r w:rsidRPr="004B287E">
              <w:t>1.633</w:t>
            </w:r>
          </w:p>
        </w:tc>
      </w:tr>
      <w:tr w:rsidR="00CE4C4B" w:rsidRPr="004B287E" w:rsidTr="00A026C7">
        <w:trPr>
          <w:trHeight w:val="330"/>
        </w:trPr>
        <w:tc>
          <w:tcPr>
            <w:tcW w:w="1050" w:type="dxa"/>
            <w:gridSpan w:val="2"/>
            <w:vMerge w:val="restart"/>
          </w:tcPr>
          <w:p w:rsidR="008936AA" w:rsidRPr="004B287E" w:rsidRDefault="008936AA" w:rsidP="00E936C8">
            <w:r w:rsidRPr="004B287E">
              <w:t>İş kazası ağırlık hızı</w:t>
            </w:r>
          </w:p>
        </w:tc>
        <w:tc>
          <w:tcPr>
            <w:tcW w:w="992" w:type="dxa"/>
          </w:tcPr>
          <w:p w:rsidR="008936AA" w:rsidRPr="004B287E" w:rsidRDefault="008936AA" w:rsidP="00E936C8">
            <w:r w:rsidRPr="004B287E">
              <w:t>Gün</w:t>
            </w:r>
          </w:p>
        </w:tc>
        <w:tc>
          <w:tcPr>
            <w:tcW w:w="1134" w:type="dxa"/>
            <w:vAlign w:val="center"/>
          </w:tcPr>
          <w:p w:rsidR="008936AA" w:rsidRPr="004B287E" w:rsidRDefault="008936AA" w:rsidP="00A026C7">
            <w:pPr>
              <w:jc w:val="right"/>
            </w:pPr>
            <w:r w:rsidRPr="004B287E">
              <w:t>395</w:t>
            </w:r>
          </w:p>
        </w:tc>
        <w:tc>
          <w:tcPr>
            <w:tcW w:w="1276" w:type="dxa"/>
            <w:vAlign w:val="center"/>
          </w:tcPr>
          <w:p w:rsidR="008936AA" w:rsidRPr="004B287E" w:rsidRDefault="008936AA" w:rsidP="00A026C7">
            <w:pPr>
              <w:jc w:val="right"/>
            </w:pPr>
            <w:r w:rsidRPr="004B287E">
              <w:t>507</w:t>
            </w:r>
          </w:p>
        </w:tc>
        <w:tc>
          <w:tcPr>
            <w:tcW w:w="1276" w:type="dxa"/>
            <w:vAlign w:val="center"/>
          </w:tcPr>
          <w:p w:rsidR="008936AA" w:rsidRPr="004B287E" w:rsidRDefault="008936AA" w:rsidP="00A026C7">
            <w:pPr>
              <w:jc w:val="right"/>
            </w:pPr>
            <w:r w:rsidRPr="004B287E">
              <w:t>514</w:t>
            </w:r>
          </w:p>
        </w:tc>
        <w:tc>
          <w:tcPr>
            <w:tcW w:w="1275" w:type="dxa"/>
            <w:vAlign w:val="center"/>
          </w:tcPr>
          <w:p w:rsidR="008936AA" w:rsidRPr="004B287E" w:rsidRDefault="008936AA" w:rsidP="00A026C7">
            <w:pPr>
              <w:jc w:val="right"/>
            </w:pPr>
            <w:r w:rsidRPr="004B287E">
              <w:t>565</w:t>
            </w:r>
          </w:p>
        </w:tc>
        <w:tc>
          <w:tcPr>
            <w:tcW w:w="1134" w:type="dxa"/>
            <w:vAlign w:val="center"/>
          </w:tcPr>
          <w:p w:rsidR="008936AA" w:rsidRPr="004B287E" w:rsidRDefault="008936AA" w:rsidP="00A026C7">
            <w:pPr>
              <w:jc w:val="right"/>
            </w:pPr>
            <w:r w:rsidRPr="004B287E">
              <w:t>665</w:t>
            </w:r>
          </w:p>
        </w:tc>
        <w:tc>
          <w:tcPr>
            <w:tcW w:w="1418" w:type="dxa"/>
            <w:vAlign w:val="center"/>
          </w:tcPr>
          <w:p w:rsidR="008936AA" w:rsidRPr="004B287E" w:rsidRDefault="008936AA" w:rsidP="00A026C7">
            <w:pPr>
              <w:jc w:val="right"/>
            </w:pPr>
            <w:r w:rsidRPr="004B287E">
              <w:t>973</w:t>
            </w:r>
          </w:p>
        </w:tc>
      </w:tr>
      <w:tr w:rsidR="00CE4C4B" w:rsidRPr="004B287E" w:rsidTr="00A026C7">
        <w:trPr>
          <w:trHeight w:val="210"/>
        </w:trPr>
        <w:tc>
          <w:tcPr>
            <w:tcW w:w="1050" w:type="dxa"/>
            <w:gridSpan w:val="2"/>
            <w:vMerge/>
          </w:tcPr>
          <w:p w:rsidR="008936AA" w:rsidRPr="004B287E" w:rsidRDefault="008936AA" w:rsidP="00E936C8"/>
        </w:tc>
        <w:tc>
          <w:tcPr>
            <w:tcW w:w="992" w:type="dxa"/>
          </w:tcPr>
          <w:p w:rsidR="008936AA" w:rsidRPr="004B287E" w:rsidRDefault="008936AA" w:rsidP="00E936C8">
            <w:r w:rsidRPr="004B287E">
              <w:t>Saat</w:t>
            </w:r>
          </w:p>
        </w:tc>
        <w:tc>
          <w:tcPr>
            <w:tcW w:w="1134" w:type="dxa"/>
            <w:vAlign w:val="center"/>
          </w:tcPr>
          <w:p w:rsidR="008936AA" w:rsidRPr="004B287E" w:rsidRDefault="008936AA" w:rsidP="00A026C7">
            <w:pPr>
              <w:jc w:val="right"/>
            </w:pPr>
            <w:r w:rsidRPr="004B287E">
              <w:t>0,32</w:t>
            </w:r>
          </w:p>
        </w:tc>
        <w:tc>
          <w:tcPr>
            <w:tcW w:w="1276" w:type="dxa"/>
            <w:vAlign w:val="center"/>
          </w:tcPr>
          <w:p w:rsidR="008936AA" w:rsidRPr="004B287E" w:rsidRDefault="008936AA" w:rsidP="00A026C7">
            <w:pPr>
              <w:jc w:val="right"/>
            </w:pPr>
            <w:r w:rsidRPr="004B287E">
              <w:t>0,41</w:t>
            </w:r>
          </w:p>
        </w:tc>
        <w:tc>
          <w:tcPr>
            <w:tcW w:w="1276" w:type="dxa"/>
            <w:vAlign w:val="center"/>
          </w:tcPr>
          <w:p w:rsidR="008936AA" w:rsidRPr="004B287E" w:rsidRDefault="008936AA" w:rsidP="00A026C7">
            <w:pPr>
              <w:jc w:val="right"/>
            </w:pPr>
            <w:r w:rsidRPr="004B287E">
              <w:t>0,41</w:t>
            </w:r>
          </w:p>
        </w:tc>
        <w:tc>
          <w:tcPr>
            <w:tcW w:w="1275" w:type="dxa"/>
            <w:vAlign w:val="center"/>
          </w:tcPr>
          <w:p w:rsidR="008936AA" w:rsidRPr="004B287E" w:rsidRDefault="008936AA" w:rsidP="00A026C7">
            <w:pPr>
              <w:jc w:val="right"/>
            </w:pPr>
            <w:r w:rsidRPr="004B287E">
              <w:t>0,45</w:t>
            </w:r>
          </w:p>
        </w:tc>
        <w:tc>
          <w:tcPr>
            <w:tcW w:w="1134" w:type="dxa"/>
            <w:vAlign w:val="center"/>
          </w:tcPr>
          <w:p w:rsidR="008936AA" w:rsidRPr="004B287E" w:rsidRDefault="008936AA" w:rsidP="00A026C7">
            <w:pPr>
              <w:jc w:val="right"/>
            </w:pPr>
            <w:r w:rsidRPr="004B287E">
              <w:t>0,53</w:t>
            </w:r>
          </w:p>
        </w:tc>
        <w:tc>
          <w:tcPr>
            <w:tcW w:w="1418" w:type="dxa"/>
            <w:vAlign w:val="center"/>
          </w:tcPr>
          <w:p w:rsidR="008936AA" w:rsidRPr="004B287E" w:rsidRDefault="008936AA" w:rsidP="00A026C7">
            <w:pPr>
              <w:jc w:val="right"/>
            </w:pPr>
            <w:r w:rsidRPr="004B287E">
              <w:t>0,778</w:t>
            </w:r>
          </w:p>
        </w:tc>
      </w:tr>
      <w:tr w:rsidR="00CE4C4B" w:rsidRPr="004B287E" w:rsidTr="00A026C7">
        <w:trPr>
          <w:trHeight w:val="210"/>
        </w:trPr>
        <w:tc>
          <w:tcPr>
            <w:tcW w:w="2042" w:type="dxa"/>
            <w:gridSpan w:val="3"/>
          </w:tcPr>
          <w:p w:rsidR="00CA0AD0" w:rsidRPr="004B287E" w:rsidRDefault="00CA0AD0" w:rsidP="00E936C8">
            <w:pPr>
              <w:rPr>
                <w:i/>
              </w:rPr>
            </w:pPr>
            <w:r w:rsidRPr="004B287E">
              <w:rPr>
                <w:i/>
              </w:rPr>
              <w:t>İş Cinayetleri (İSİG Meclisi)</w:t>
            </w:r>
          </w:p>
        </w:tc>
        <w:tc>
          <w:tcPr>
            <w:tcW w:w="1134" w:type="dxa"/>
            <w:vAlign w:val="center"/>
          </w:tcPr>
          <w:p w:rsidR="00CA0AD0" w:rsidRPr="004B287E" w:rsidRDefault="00CA0AD0" w:rsidP="00A026C7">
            <w:pPr>
              <w:jc w:val="right"/>
              <w:rPr>
                <w:i/>
              </w:rPr>
            </w:pPr>
            <w:r w:rsidRPr="004B287E">
              <w:rPr>
                <w:i/>
              </w:rPr>
              <w:t>878</w:t>
            </w:r>
          </w:p>
        </w:tc>
        <w:tc>
          <w:tcPr>
            <w:tcW w:w="1276" w:type="dxa"/>
            <w:vAlign w:val="center"/>
          </w:tcPr>
          <w:p w:rsidR="00CA0AD0" w:rsidRPr="004B287E" w:rsidRDefault="00CA0AD0" w:rsidP="00A026C7">
            <w:pPr>
              <w:jc w:val="right"/>
              <w:rPr>
                <w:i/>
              </w:rPr>
            </w:pPr>
            <w:r w:rsidRPr="004B287E">
              <w:rPr>
                <w:i/>
              </w:rPr>
              <w:t>1.235</w:t>
            </w:r>
          </w:p>
        </w:tc>
        <w:tc>
          <w:tcPr>
            <w:tcW w:w="1276" w:type="dxa"/>
            <w:vAlign w:val="center"/>
          </w:tcPr>
          <w:p w:rsidR="00CA0AD0" w:rsidRPr="004B287E" w:rsidRDefault="00CA0AD0" w:rsidP="00A026C7">
            <w:pPr>
              <w:jc w:val="right"/>
              <w:rPr>
                <w:i/>
              </w:rPr>
            </w:pPr>
            <w:r w:rsidRPr="004B287E">
              <w:rPr>
                <w:i/>
              </w:rPr>
              <w:t>1.886</w:t>
            </w:r>
          </w:p>
        </w:tc>
        <w:tc>
          <w:tcPr>
            <w:tcW w:w="1275" w:type="dxa"/>
            <w:vAlign w:val="center"/>
          </w:tcPr>
          <w:p w:rsidR="00CA0AD0" w:rsidRPr="004B287E" w:rsidRDefault="00CA0AD0" w:rsidP="00A026C7">
            <w:pPr>
              <w:jc w:val="right"/>
              <w:rPr>
                <w:i/>
              </w:rPr>
            </w:pPr>
            <w:r w:rsidRPr="004B287E">
              <w:rPr>
                <w:i/>
              </w:rPr>
              <w:t>1.730</w:t>
            </w:r>
          </w:p>
        </w:tc>
        <w:tc>
          <w:tcPr>
            <w:tcW w:w="1134" w:type="dxa"/>
            <w:vAlign w:val="center"/>
          </w:tcPr>
          <w:p w:rsidR="00CA0AD0" w:rsidRPr="004B287E" w:rsidRDefault="00CA0AD0" w:rsidP="00A026C7">
            <w:pPr>
              <w:jc w:val="right"/>
              <w:rPr>
                <w:i/>
              </w:rPr>
            </w:pPr>
            <w:r w:rsidRPr="004B287E">
              <w:rPr>
                <w:i/>
              </w:rPr>
              <w:t>1.970</w:t>
            </w:r>
          </w:p>
        </w:tc>
        <w:tc>
          <w:tcPr>
            <w:tcW w:w="1418" w:type="dxa"/>
            <w:vAlign w:val="center"/>
          </w:tcPr>
          <w:p w:rsidR="00CA0AD0" w:rsidRPr="004B287E" w:rsidRDefault="00CA0AD0" w:rsidP="00A026C7">
            <w:pPr>
              <w:jc w:val="right"/>
              <w:rPr>
                <w:i/>
              </w:rPr>
            </w:pPr>
            <w:r w:rsidRPr="004B287E">
              <w:rPr>
                <w:i/>
              </w:rPr>
              <w:t>2.006</w:t>
            </w:r>
          </w:p>
        </w:tc>
      </w:tr>
    </w:tbl>
    <w:p w:rsidR="008936AA" w:rsidRPr="004B287E" w:rsidRDefault="008936AA" w:rsidP="008936AA">
      <w:pPr>
        <w:spacing w:after="120" w:line="240" w:lineRule="auto"/>
        <w:rPr>
          <w:i/>
        </w:rPr>
      </w:pPr>
      <w:r w:rsidRPr="004B287E">
        <w:rPr>
          <w:b/>
          <w:i/>
        </w:rPr>
        <w:t>Kaynak</w:t>
      </w:r>
      <w:r w:rsidRPr="004B287E">
        <w:rPr>
          <w:i/>
        </w:rPr>
        <w:t xml:space="preserve">: </w:t>
      </w:r>
      <w:r w:rsidR="00CA0AD0" w:rsidRPr="004B287E">
        <w:rPr>
          <w:i/>
        </w:rPr>
        <w:t xml:space="preserve">Son satırın dışındaki veriler </w:t>
      </w:r>
      <w:r w:rsidRPr="004B287E">
        <w:rPr>
          <w:i/>
        </w:rPr>
        <w:t>SGK 2012, 2013, 2014, 2015 2016, 2017 istatistikleri</w:t>
      </w:r>
      <w:r w:rsidR="00CA0AD0" w:rsidRPr="004B287E">
        <w:rPr>
          <w:i/>
        </w:rPr>
        <w:t>. Son satır İSİG Meclisi raporları.</w:t>
      </w:r>
    </w:p>
    <w:p w:rsidR="008936AA" w:rsidRPr="004B287E" w:rsidRDefault="008936AA" w:rsidP="008936AA">
      <w:pPr>
        <w:rPr>
          <w:i/>
        </w:rPr>
      </w:pPr>
      <w:r w:rsidRPr="004B287E">
        <w:rPr>
          <w:b/>
          <w:i/>
        </w:rPr>
        <w:t>Not</w:t>
      </w:r>
      <w:r w:rsidRPr="004B287E">
        <w:rPr>
          <w:i/>
        </w:rPr>
        <w:t xml:space="preserve">: 2012 yılı verilerinde incelemesi tamamlanan kaza sayıları yer alırken sonraki yıllarda, yıl içinde bildirilen iş kazası sayıları yer aldığı için 2012 yılı verilerinin bir kısmı sonraki verilerle süreklilik göstermemektedir. </w:t>
      </w:r>
    </w:p>
    <w:p w:rsidR="009A50D8" w:rsidRPr="004B287E" w:rsidRDefault="008936AA" w:rsidP="007104AF">
      <w:pPr>
        <w:ind w:firstLine="567"/>
        <w:jc w:val="both"/>
      </w:pPr>
      <w:r w:rsidRPr="004B287E">
        <w:t>Kaza gibi ani gelişen olaylarda ölüm olaylarının saklanması</w:t>
      </w:r>
      <w:r w:rsidR="00CC6E03" w:rsidRPr="004B287E">
        <w:t>,</w:t>
      </w:r>
      <w:r w:rsidR="00A026C7" w:rsidRPr="004B287E">
        <w:t xml:space="preserve"> olayın adli kurumlara yansıması nedeniyle</w:t>
      </w:r>
      <w:r w:rsidRPr="004B287E">
        <w:t xml:space="preserve">, </w:t>
      </w:r>
      <w:proofErr w:type="gramStart"/>
      <w:r w:rsidRPr="004B287E">
        <w:t>imkansız</w:t>
      </w:r>
      <w:proofErr w:type="gramEnd"/>
      <w:r w:rsidRPr="004B287E">
        <w:t xml:space="preserve"> değilse de, yaralanmalara göre daha zordur. Bu nedenle verilerin sağlıksız olduğu Türkiye gibi bir ülkede, iş kazası sonucu ölüm vakası sayısını </w:t>
      </w:r>
      <w:proofErr w:type="gramStart"/>
      <w:r w:rsidRPr="004B287E">
        <w:t>baz</w:t>
      </w:r>
      <w:proofErr w:type="gramEnd"/>
      <w:r w:rsidRPr="004B287E">
        <w:t xml:space="preserve"> almak daha gerçekçidir. Ancak iş kazası nedeniyle ölümlerde azalma değil artış bulunmaktadır. </w:t>
      </w:r>
      <w:r w:rsidR="00E14D18" w:rsidRPr="004B287E">
        <w:t>Meslek h</w:t>
      </w:r>
      <w:r w:rsidR="00A026C7" w:rsidRPr="004B287E">
        <w:t xml:space="preserve">astalıklarında ise </w:t>
      </w:r>
      <w:proofErr w:type="spellStart"/>
      <w:r w:rsidR="00A026C7" w:rsidRPr="004B287E">
        <w:t>SGK'nın</w:t>
      </w:r>
      <w:proofErr w:type="spellEnd"/>
      <w:r w:rsidR="00A026C7" w:rsidRPr="004B287E">
        <w:t xml:space="preserve"> ham verilerin</w:t>
      </w:r>
      <w:r w:rsidR="00E14D18" w:rsidRPr="004B287E">
        <w:t>de görülen azalma meslek hastalıklarının azaldığını değil sistem tarafından tespit ve tazmin edilmediğini göstermektedir.</w:t>
      </w:r>
      <w:r w:rsidR="009A50D8" w:rsidRPr="004B287E">
        <w:t xml:space="preserve"> Bu durum 2009-2013 yıllarını kapsayan Ulusal İş Sağlığı ve Güvenliği Politika Belgesi’nde de belirtilmiştir. Belgede “</w:t>
      </w:r>
      <w:proofErr w:type="spellStart"/>
      <w:r w:rsidR="009A50D8" w:rsidRPr="004B287E">
        <w:rPr>
          <w:i/>
        </w:rPr>
        <w:t>yüzbin</w:t>
      </w:r>
      <w:proofErr w:type="spellEnd"/>
      <w:r w:rsidR="009A50D8" w:rsidRPr="004B287E">
        <w:rPr>
          <w:i/>
        </w:rPr>
        <w:t xml:space="preserve"> işçide iş k</w:t>
      </w:r>
      <w:r w:rsidR="00A026C7" w:rsidRPr="004B287E">
        <w:rPr>
          <w:i/>
        </w:rPr>
        <w:t>azası oranının %20 azaltılması</w:t>
      </w:r>
      <w:r w:rsidR="00A026C7" w:rsidRPr="004B287E">
        <w:t>” yanında</w:t>
      </w:r>
      <w:r w:rsidR="009A50D8" w:rsidRPr="004B287E">
        <w:t xml:space="preserve"> “</w:t>
      </w:r>
      <w:r w:rsidR="009A50D8" w:rsidRPr="004B287E">
        <w:rPr>
          <w:i/>
        </w:rPr>
        <w:t>beklenen ancak tespit edilememiş meslek hastalığı vaka sayısı tespitinin %500 artırılması</w:t>
      </w:r>
      <w:r w:rsidR="009A50D8" w:rsidRPr="004B287E">
        <w:t xml:space="preserve">” dönem </w:t>
      </w:r>
      <w:r w:rsidR="009A50D8" w:rsidRPr="004B287E">
        <w:lastRenderedPageBreak/>
        <w:t xml:space="preserve">hedefi olarak belirtilmiştir (ÇSGB, 2009, s. 150). Ancak bu hedefin konulduğu 2009 yılında </w:t>
      </w:r>
      <w:proofErr w:type="spellStart"/>
      <w:r w:rsidR="00A026C7" w:rsidRPr="004B287E">
        <w:t>SGK'nın</w:t>
      </w:r>
      <w:proofErr w:type="spellEnd"/>
      <w:r w:rsidR="00A026C7" w:rsidRPr="004B287E">
        <w:t xml:space="preserve"> ham verilerinde yer alan </w:t>
      </w:r>
      <w:r w:rsidR="009A50D8" w:rsidRPr="004B287E">
        <w:t xml:space="preserve">meslek hastalığı sayısı 429 iken, 8 yıl sonra, 2017 yılında tespit edilen meslek hastalığı sayısı 691'dir. Yani tespit konusunda hiçbir ilerleme olmamıştır. </w:t>
      </w:r>
    </w:p>
    <w:p w:rsidR="0073571D" w:rsidRPr="004B287E" w:rsidRDefault="0073571D" w:rsidP="00155DF8">
      <w:pPr>
        <w:pStyle w:val="TabloBal"/>
        <w:rPr>
          <w:color w:val="auto"/>
        </w:rPr>
      </w:pPr>
      <w:bookmarkStart w:id="14" w:name="_Toc536279463"/>
      <w:r w:rsidRPr="004B287E">
        <w:rPr>
          <w:b/>
          <w:color w:val="auto"/>
        </w:rPr>
        <w:t>Tablo-</w:t>
      </w:r>
      <w:r w:rsidR="005011BA" w:rsidRPr="004B287E">
        <w:rPr>
          <w:b/>
          <w:color w:val="auto"/>
        </w:rPr>
        <w:t>4</w:t>
      </w:r>
      <w:r w:rsidRPr="004B287E">
        <w:rPr>
          <w:b/>
          <w:color w:val="auto"/>
        </w:rPr>
        <w:t xml:space="preserve">: </w:t>
      </w:r>
      <w:r w:rsidR="00905ECB" w:rsidRPr="004B287E">
        <w:rPr>
          <w:color w:val="auto"/>
        </w:rPr>
        <w:t xml:space="preserve">SGK verilerine göre </w:t>
      </w:r>
      <w:r w:rsidRPr="004B287E">
        <w:rPr>
          <w:color w:val="auto"/>
        </w:rPr>
        <w:t>Türkiye'de İş Kazaları ve Meslek Hastalıkları, 1995-2017*</w:t>
      </w:r>
      <w:bookmarkEnd w:id="14"/>
    </w:p>
    <w:tbl>
      <w:tblPr>
        <w:tblW w:w="70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tblPr>
      <w:tblGrid>
        <w:gridCol w:w="1008"/>
        <w:gridCol w:w="1410"/>
        <w:gridCol w:w="1559"/>
        <w:gridCol w:w="1559"/>
        <w:gridCol w:w="1559"/>
      </w:tblGrid>
      <w:tr w:rsidR="00CE4C4B" w:rsidRPr="004B287E" w:rsidTr="0008295E">
        <w:trPr>
          <w:trHeight w:val="629"/>
          <w:jc w:val="center"/>
        </w:trPr>
        <w:tc>
          <w:tcPr>
            <w:tcW w:w="1008" w:type="dxa"/>
            <w:shd w:val="clear" w:color="auto" w:fill="auto"/>
            <w:vAlign w:val="bottom"/>
            <w:hideMark/>
          </w:tcPr>
          <w:p w:rsidR="0073571D" w:rsidRPr="004B287E" w:rsidRDefault="002319B3" w:rsidP="002319B3">
            <w:pPr>
              <w:spacing w:after="0" w:line="240" w:lineRule="auto"/>
              <w:jc w:val="center"/>
              <w:rPr>
                <w:rFonts w:ascii="Calibri" w:eastAsia="Times New Roman" w:hAnsi="Calibri" w:cs="Calibri"/>
                <w:b/>
                <w:sz w:val="20"/>
                <w:szCs w:val="20"/>
                <w:lang w:eastAsia="tr-TR"/>
              </w:rPr>
            </w:pPr>
            <w:r w:rsidRPr="004B287E">
              <w:rPr>
                <w:rFonts w:ascii="Calibri" w:eastAsia="Times New Roman" w:hAnsi="Calibri" w:cs="Calibri"/>
                <w:b/>
                <w:sz w:val="20"/>
                <w:szCs w:val="20"/>
                <w:lang w:eastAsia="tr-TR"/>
              </w:rPr>
              <w:t>Yıllar</w:t>
            </w:r>
          </w:p>
        </w:tc>
        <w:tc>
          <w:tcPr>
            <w:tcW w:w="1410" w:type="dxa"/>
            <w:shd w:val="clear" w:color="auto" w:fill="auto"/>
            <w:vAlign w:val="bottom"/>
            <w:hideMark/>
          </w:tcPr>
          <w:p w:rsidR="0073571D" w:rsidRPr="004B287E" w:rsidRDefault="002319B3" w:rsidP="00E936C8">
            <w:pPr>
              <w:spacing w:after="0" w:line="240" w:lineRule="auto"/>
              <w:jc w:val="center"/>
              <w:rPr>
                <w:rFonts w:ascii="Calibri" w:eastAsia="Times New Roman" w:hAnsi="Calibri" w:cs="Calibri"/>
                <w:b/>
                <w:sz w:val="20"/>
                <w:szCs w:val="20"/>
                <w:lang w:eastAsia="tr-TR"/>
              </w:rPr>
            </w:pPr>
            <w:r w:rsidRPr="004B287E">
              <w:rPr>
                <w:rFonts w:ascii="Calibri" w:eastAsia="Times New Roman" w:hAnsi="Calibri" w:cs="Calibri"/>
                <w:b/>
                <w:sz w:val="20"/>
                <w:szCs w:val="20"/>
                <w:lang w:eastAsia="tr-TR"/>
              </w:rPr>
              <w:t>Meslek hastalığı sayısı</w:t>
            </w:r>
          </w:p>
        </w:tc>
        <w:tc>
          <w:tcPr>
            <w:tcW w:w="1559" w:type="dxa"/>
            <w:shd w:val="clear" w:color="auto" w:fill="auto"/>
            <w:vAlign w:val="bottom"/>
            <w:hideMark/>
          </w:tcPr>
          <w:p w:rsidR="0073571D" w:rsidRPr="004B287E" w:rsidRDefault="002319B3" w:rsidP="00E936C8">
            <w:pPr>
              <w:spacing w:after="0" w:line="240" w:lineRule="auto"/>
              <w:jc w:val="center"/>
              <w:rPr>
                <w:rFonts w:ascii="Calibri" w:eastAsia="Times New Roman" w:hAnsi="Calibri" w:cs="Calibri"/>
                <w:b/>
                <w:sz w:val="20"/>
                <w:szCs w:val="20"/>
                <w:lang w:eastAsia="tr-TR"/>
              </w:rPr>
            </w:pPr>
            <w:r w:rsidRPr="004B287E">
              <w:rPr>
                <w:rFonts w:ascii="Calibri" w:eastAsia="Times New Roman" w:hAnsi="Calibri" w:cs="Calibri"/>
                <w:b/>
                <w:sz w:val="20"/>
                <w:szCs w:val="20"/>
                <w:lang w:eastAsia="tr-TR"/>
              </w:rPr>
              <w:t>Meslek hastalığı sebebiyle ölüm sayısı</w:t>
            </w:r>
          </w:p>
        </w:tc>
        <w:tc>
          <w:tcPr>
            <w:tcW w:w="1559" w:type="dxa"/>
            <w:shd w:val="clear" w:color="auto" w:fill="auto"/>
            <w:vAlign w:val="bottom"/>
            <w:hideMark/>
          </w:tcPr>
          <w:p w:rsidR="0073571D" w:rsidRPr="004B287E" w:rsidRDefault="002319B3" w:rsidP="00E936C8">
            <w:pPr>
              <w:spacing w:after="0" w:line="240" w:lineRule="auto"/>
              <w:jc w:val="center"/>
              <w:rPr>
                <w:rFonts w:ascii="Calibri" w:eastAsia="Times New Roman" w:hAnsi="Calibri" w:cs="Calibri"/>
                <w:b/>
                <w:sz w:val="20"/>
                <w:szCs w:val="20"/>
                <w:lang w:eastAsia="tr-TR"/>
              </w:rPr>
            </w:pPr>
            <w:r w:rsidRPr="004B287E">
              <w:rPr>
                <w:rFonts w:ascii="Calibri" w:eastAsia="Times New Roman" w:hAnsi="Calibri" w:cs="Calibri"/>
                <w:b/>
                <w:sz w:val="20"/>
                <w:szCs w:val="20"/>
                <w:lang w:eastAsia="tr-TR"/>
              </w:rPr>
              <w:t>İş kazası sebebiyle ölüm sayısı</w:t>
            </w:r>
          </w:p>
        </w:tc>
        <w:tc>
          <w:tcPr>
            <w:tcW w:w="1559" w:type="dxa"/>
            <w:shd w:val="clear" w:color="auto" w:fill="auto"/>
            <w:vAlign w:val="bottom"/>
            <w:hideMark/>
          </w:tcPr>
          <w:p w:rsidR="0073571D" w:rsidRPr="004B287E" w:rsidRDefault="002319B3" w:rsidP="002319B3">
            <w:pPr>
              <w:spacing w:after="0" w:line="240" w:lineRule="auto"/>
              <w:jc w:val="center"/>
              <w:rPr>
                <w:rFonts w:ascii="Calibri" w:eastAsia="Times New Roman" w:hAnsi="Calibri" w:cs="Calibri"/>
                <w:b/>
                <w:sz w:val="20"/>
                <w:szCs w:val="20"/>
                <w:lang w:eastAsia="tr-TR"/>
              </w:rPr>
            </w:pPr>
            <w:r w:rsidRPr="004B287E">
              <w:rPr>
                <w:rFonts w:ascii="Calibri" w:eastAsia="Times New Roman" w:hAnsi="Calibri" w:cs="Calibri"/>
                <w:b/>
                <w:sz w:val="20"/>
                <w:szCs w:val="20"/>
                <w:lang w:eastAsia="tr-TR"/>
              </w:rPr>
              <w:t>İK ve MH sonucu ölüm sayısı</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1995</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975</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798</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919</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1996</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1.115</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196</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1.296</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1.492</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1997</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1.055</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191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1.282</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1.473</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1998</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1.400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158</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1.094</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1.252</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1999</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1.025</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168</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1.165</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1.333</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2000</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803</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6</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1.167</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1.173</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2001</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883</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6</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1.002</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1.008</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2002</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601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6</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872</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878</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2003</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440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810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811</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2004</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384</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841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843</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2005</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519</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24</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1.072</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1.096</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2006</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574</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9</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1.592</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1.601</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2007</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1.208</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1.043</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1.044</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2008</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539</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865</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866</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2009</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429</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1.171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1.171</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2010</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533</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1.444</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1.454</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2011</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697</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1.700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1.710</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2012</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395</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744</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745</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2013</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371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1360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1.360</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2014</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494</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1626</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1.626</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2015</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510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1252</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1252</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2016</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597</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1405</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1405</w:t>
            </w:r>
          </w:p>
        </w:tc>
      </w:tr>
      <w:tr w:rsidR="00CE4C4B" w:rsidRPr="004B287E" w:rsidTr="0008295E">
        <w:trPr>
          <w:trHeight w:val="300"/>
          <w:jc w:val="center"/>
        </w:trPr>
        <w:tc>
          <w:tcPr>
            <w:tcW w:w="1008" w:type="dxa"/>
            <w:shd w:val="clear" w:color="auto" w:fill="auto"/>
            <w:noWrap/>
            <w:vAlign w:val="bottom"/>
            <w:hideMark/>
          </w:tcPr>
          <w:p w:rsidR="0073571D" w:rsidRPr="004B287E" w:rsidRDefault="0073571D" w:rsidP="002319B3">
            <w:pPr>
              <w:spacing w:after="0" w:line="240" w:lineRule="auto"/>
              <w:jc w:val="center"/>
              <w:rPr>
                <w:rFonts w:ascii="Calibri" w:eastAsia="Times New Roman" w:hAnsi="Calibri" w:cs="Calibri"/>
                <w:b/>
                <w:lang w:eastAsia="tr-TR"/>
              </w:rPr>
            </w:pPr>
            <w:r w:rsidRPr="004B287E">
              <w:rPr>
                <w:rFonts w:ascii="Calibri" w:eastAsia="Times New Roman" w:hAnsi="Calibri" w:cs="Calibri"/>
                <w:b/>
                <w:lang w:eastAsia="tr-TR"/>
              </w:rPr>
              <w:t>2017</w:t>
            </w:r>
          </w:p>
        </w:tc>
        <w:tc>
          <w:tcPr>
            <w:tcW w:w="1410"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691</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0</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1633</w:t>
            </w:r>
          </w:p>
        </w:tc>
        <w:tc>
          <w:tcPr>
            <w:tcW w:w="1559" w:type="dxa"/>
            <w:shd w:val="clear" w:color="auto" w:fill="auto"/>
            <w:noWrap/>
            <w:vAlign w:val="bottom"/>
            <w:hideMark/>
          </w:tcPr>
          <w:p w:rsidR="0073571D" w:rsidRPr="004B287E" w:rsidRDefault="0073571D" w:rsidP="00E936C8">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1633</w:t>
            </w:r>
          </w:p>
        </w:tc>
      </w:tr>
    </w:tbl>
    <w:p w:rsidR="0073571D" w:rsidRPr="004B287E" w:rsidRDefault="0073571D" w:rsidP="0073571D">
      <w:pPr>
        <w:spacing w:after="0" w:line="240" w:lineRule="auto"/>
        <w:rPr>
          <w:i/>
        </w:rPr>
      </w:pPr>
      <w:r w:rsidRPr="004B287E">
        <w:rPr>
          <w:rFonts w:ascii="Calibri" w:eastAsia="Times New Roman" w:hAnsi="Calibri" w:cs="Calibri"/>
          <w:b/>
          <w:i/>
          <w:lang w:eastAsia="tr-TR"/>
        </w:rPr>
        <w:t>Kaynak</w:t>
      </w:r>
      <w:r w:rsidRPr="004B287E">
        <w:rPr>
          <w:rFonts w:ascii="Calibri" w:eastAsia="Times New Roman" w:hAnsi="Calibri" w:cs="Calibri"/>
          <w:i/>
          <w:lang w:eastAsia="tr-TR"/>
        </w:rPr>
        <w:t>:  1</w:t>
      </w:r>
      <w:proofErr w:type="gramStart"/>
      <w:r w:rsidRPr="004B287E">
        <w:rPr>
          <w:rFonts w:ascii="Calibri" w:eastAsia="Times New Roman" w:hAnsi="Calibri" w:cs="Calibri"/>
          <w:i/>
          <w:lang w:eastAsia="tr-TR"/>
        </w:rPr>
        <w:t>)</w:t>
      </w:r>
      <w:proofErr w:type="gramEnd"/>
      <w:r w:rsidRPr="004B287E">
        <w:rPr>
          <w:rFonts w:ascii="Calibri" w:eastAsia="Times New Roman" w:hAnsi="Calibri" w:cs="Calibri"/>
          <w:i/>
          <w:lang w:eastAsia="tr-TR"/>
        </w:rPr>
        <w:t xml:space="preserve">1995-2010 yılları: ÇSGB. 2012. 6331 Sayılı İş Sağlığı ve Güvenliği Kanunu. Ankara. </w:t>
      </w:r>
      <w:proofErr w:type="gramStart"/>
      <w:r w:rsidRPr="004B287E">
        <w:rPr>
          <w:rFonts w:ascii="Calibri" w:eastAsia="Times New Roman" w:hAnsi="Calibri" w:cs="Calibri"/>
          <w:i/>
          <w:lang w:eastAsia="tr-TR"/>
        </w:rPr>
        <w:t>s</w:t>
      </w:r>
      <w:proofErr w:type="gramEnd"/>
      <w:r w:rsidRPr="004B287E">
        <w:rPr>
          <w:rFonts w:ascii="Calibri" w:eastAsia="Times New Roman" w:hAnsi="Calibri" w:cs="Calibri"/>
          <w:i/>
          <w:lang w:eastAsia="tr-TR"/>
        </w:rPr>
        <w:t>. 35.</w:t>
      </w:r>
    </w:p>
    <w:p w:rsidR="0073571D" w:rsidRPr="004B287E" w:rsidRDefault="0073571D" w:rsidP="0073571D">
      <w:pPr>
        <w:spacing w:after="0" w:line="240" w:lineRule="auto"/>
        <w:rPr>
          <w:i/>
        </w:rPr>
      </w:pPr>
      <w:r w:rsidRPr="004B287E">
        <w:rPr>
          <w:rFonts w:ascii="Calibri" w:eastAsia="Times New Roman" w:hAnsi="Calibri" w:cs="Calibri"/>
          <w:i/>
          <w:lang w:eastAsia="tr-TR"/>
        </w:rPr>
        <w:t>2) 2011 ve sonraki yıllar ilgili yılın SGK istatistikleri</w:t>
      </w:r>
    </w:p>
    <w:p w:rsidR="0073571D" w:rsidRPr="004B287E" w:rsidRDefault="0073571D" w:rsidP="0073571D">
      <w:pPr>
        <w:rPr>
          <w:i/>
        </w:rPr>
      </w:pPr>
      <w:r w:rsidRPr="004B287E">
        <w:rPr>
          <w:i/>
        </w:rPr>
        <w:t xml:space="preserve">*) Veriler 5510 Md. 4-1/a kapsamındaki sigortalıları (işçileri) kapsamaktadır. </w:t>
      </w:r>
      <w:r w:rsidR="00C30F5A" w:rsidRPr="004B287E">
        <w:rPr>
          <w:i/>
        </w:rPr>
        <w:t xml:space="preserve">Bağımsız çalışanlar bu tabloya </w:t>
      </w:r>
      <w:proofErr w:type="gramStart"/>
      <w:r w:rsidR="00C30F5A" w:rsidRPr="004B287E">
        <w:rPr>
          <w:i/>
        </w:rPr>
        <w:t>dahil</w:t>
      </w:r>
      <w:proofErr w:type="gramEnd"/>
      <w:r w:rsidR="00C30F5A" w:rsidRPr="004B287E">
        <w:rPr>
          <w:i/>
        </w:rPr>
        <w:t xml:space="preserve"> edilmemiştir.</w:t>
      </w:r>
      <w:r w:rsidR="00BE5F33" w:rsidRPr="004B287E">
        <w:rPr>
          <w:i/>
        </w:rPr>
        <w:t xml:space="preserve"> </w:t>
      </w:r>
      <w:r w:rsidRPr="004B287E">
        <w:rPr>
          <w:i/>
        </w:rPr>
        <w:t xml:space="preserve">2017 yılında bağımsız çalışanlar </w:t>
      </w:r>
      <w:r w:rsidR="00C30F5A" w:rsidRPr="004B287E">
        <w:rPr>
          <w:i/>
        </w:rPr>
        <w:t>için yayınlanan verilere göre 3 kişi iş kazalarında ölmüştür.</w:t>
      </w:r>
      <w:r w:rsidR="00BE5F33" w:rsidRPr="004B287E">
        <w:rPr>
          <w:i/>
        </w:rPr>
        <w:t xml:space="preserve"> </w:t>
      </w:r>
      <w:r w:rsidR="00C30F5A" w:rsidRPr="004B287E">
        <w:rPr>
          <w:i/>
        </w:rPr>
        <w:t xml:space="preserve">2017 yılında SSGSS kapsamında iş kazası sonucu ölüm toplam sayısı 1.636 kişidir. </w:t>
      </w:r>
    </w:p>
    <w:p w:rsidR="0073571D" w:rsidRPr="004B287E" w:rsidRDefault="00CC6E03" w:rsidP="007104AF">
      <w:pPr>
        <w:ind w:firstLine="567"/>
        <w:jc w:val="both"/>
      </w:pPr>
      <w:r w:rsidRPr="004B287E">
        <w:t>Tablo-4'te 1995 sonrası verileri meslek hastalıklarının tespit edilmesindeki sorunlara ilişkin ipuçları vermektedir. V</w:t>
      </w:r>
      <w:r w:rsidR="0073571D" w:rsidRPr="004B287E">
        <w:t>eriler meslek hastalıklarının tespit edilmesi konusunda 1990'lı yıllara göre gerileme olduğunu göstermektedir. 1995-1999 döneminde yıllık olarak ortalama 167 meslek hastalığı sebebiyle ölüm tespit edilmiştir. 2000 yılında meslek hastalığı tespiti sayısı önceki yıla göre %20 azalırken ölüm tespiti sayısı birdenbire 6'ya düşmüş ve sonraki yıllarda bu seviyelerde sürmüştür. 6331 sayılı İSG sayısının yayınlandığı 2012 yılından so</w:t>
      </w:r>
      <w:r w:rsidR="007512D3" w:rsidRPr="004B287E">
        <w:t xml:space="preserve">nra ise istatistiğe yansıyan meslek hastalığı </w:t>
      </w:r>
      <w:r w:rsidR="0073571D" w:rsidRPr="004B287E">
        <w:t>tespitler</w:t>
      </w:r>
      <w:r w:rsidR="007512D3" w:rsidRPr="004B287E">
        <w:t>i</w:t>
      </w:r>
      <w:r w:rsidR="0073571D" w:rsidRPr="004B287E">
        <w:t xml:space="preserve"> 0'a düşmüştür. Türkiye'deki çalışma ortamında ve sağlık sisteminde olağanüstü bir iyileşme olmadığına göre </w:t>
      </w:r>
      <w:r w:rsidR="0073571D" w:rsidRPr="004B287E">
        <w:lastRenderedPageBreak/>
        <w:t xml:space="preserve">bu veriler 2000 yılından itibaren meslek hastalığı sonucu ölümlerin bilinçli ve sistematik olarak tespit edilmediğini göstermektedir. </w:t>
      </w:r>
    </w:p>
    <w:p w:rsidR="00A65B92" w:rsidRPr="004B287E" w:rsidRDefault="00A65B92" w:rsidP="00A65B92">
      <w:pPr>
        <w:pStyle w:val="TabloBal"/>
        <w:rPr>
          <w:color w:val="auto"/>
        </w:rPr>
      </w:pPr>
      <w:bookmarkStart w:id="15" w:name="_Toc536279464"/>
      <w:r w:rsidRPr="004B287E">
        <w:rPr>
          <w:b/>
          <w:color w:val="auto"/>
        </w:rPr>
        <w:t>Tablo-</w:t>
      </w:r>
      <w:r w:rsidR="00D91D3E" w:rsidRPr="004B287E">
        <w:rPr>
          <w:b/>
          <w:color w:val="auto"/>
        </w:rPr>
        <w:t>5</w:t>
      </w:r>
      <w:r w:rsidRPr="004B287E">
        <w:rPr>
          <w:b/>
          <w:color w:val="auto"/>
        </w:rPr>
        <w:t>:</w:t>
      </w:r>
      <w:r w:rsidRPr="004B287E">
        <w:rPr>
          <w:color w:val="auto"/>
        </w:rPr>
        <w:t xml:space="preserve"> Sürekli İş Göremezlik Geliri ve Vazife Malulü Aylığı Bağlananlar ve Alanlar, 2007-2017</w:t>
      </w:r>
      <w:bookmarkEnd w:id="15"/>
    </w:p>
    <w:tbl>
      <w:tblPr>
        <w:tblW w:w="852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6"/>
        <w:gridCol w:w="1843"/>
        <w:gridCol w:w="1724"/>
        <w:gridCol w:w="1678"/>
        <w:gridCol w:w="1559"/>
      </w:tblGrid>
      <w:tr w:rsidR="00CE4C4B" w:rsidRPr="004B287E" w:rsidTr="00CC6E03">
        <w:trPr>
          <w:trHeight w:val="300"/>
          <w:jc w:val="center"/>
        </w:trPr>
        <w:tc>
          <w:tcPr>
            <w:tcW w:w="1716" w:type="dxa"/>
            <w:vMerge w:val="restart"/>
            <w:shd w:val="clear" w:color="auto" w:fill="auto"/>
            <w:noWrap/>
            <w:vAlign w:val="bottom"/>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Yıllar</w:t>
            </w:r>
          </w:p>
        </w:tc>
        <w:tc>
          <w:tcPr>
            <w:tcW w:w="3567" w:type="dxa"/>
            <w:gridSpan w:val="2"/>
            <w:vAlign w:val="center"/>
          </w:tcPr>
          <w:p w:rsidR="00A65B92" w:rsidRPr="004B287E" w:rsidRDefault="00A65B92" w:rsidP="00A65B92">
            <w:pPr>
              <w:spacing w:after="0" w:line="240" w:lineRule="auto"/>
              <w:ind w:firstLineChars="100" w:firstLine="181"/>
              <w:jc w:val="center"/>
              <w:rPr>
                <w:rFonts w:ascii="Arial" w:hAnsi="Arial" w:cs="Arial"/>
                <w:b/>
                <w:sz w:val="18"/>
                <w:szCs w:val="18"/>
              </w:rPr>
            </w:pPr>
            <w:r w:rsidRPr="004B287E">
              <w:rPr>
                <w:rFonts w:ascii="Arial" w:hAnsi="Arial" w:cs="Arial"/>
                <w:b/>
                <w:sz w:val="18"/>
                <w:szCs w:val="18"/>
              </w:rPr>
              <w:t>Sürekli İş Göremezlik Geliri (İşçiler)</w:t>
            </w:r>
          </w:p>
        </w:tc>
        <w:tc>
          <w:tcPr>
            <w:tcW w:w="3237" w:type="dxa"/>
            <w:gridSpan w:val="2"/>
            <w:shd w:val="clear" w:color="auto" w:fill="auto"/>
            <w:noWrap/>
            <w:vAlign w:val="center"/>
          </w:tcPr>
          <w:p w:rsidR="00A65B92" w:rsidRPr="004B287E" w:rsidRDefault="00A65B92" w:rsidP="00A65B92">
            <w:pPr>
              <w:spacing w:after="0" w:line="240" w:lineRule="auto"/>
              <w:ind w:firstLineChars="100" w:firstLine="181"/>
              <w:jc w:val="center"/>
              <w:rPr>
                <w:rFonts w:ascii="Arial" w:eastAsia="Times New Roman" w:hAnsi="Arial" w:cs="Arial"/>
                <w:b/>
                <w:sz w:val="18"/>
                <w:szCs w:val="18"/>
                <w:lang w:eastAsia="tr-TR"/>
              </w:rPr>
            </w:pPr>
            <w:r w:rsidRPr="004B287E">
              <w:rPr>
                <w:rFonts w:ascii="Arial" w:eastAsia="Times New Roman" w:hAnsi="Arial" w:cs="Arial"/>
                <w:b/>
                <w:sz w:val="18"/>
                <w:szCs w:val="18"/>
                <w:lang w:eastAsia="tr-TR"/>
              </w:rPr>
              <w:t>Vazife Malulü (Kamu Çalışanları)</w:t>
            </w:r>
          </w:p>
        </w:tc>
      </w:tr>
      <w:tr w:rsidR="00CE4C4B" w:rsidRPr="004B287E" w:rsidTr="00CC6E03">
        <w:trPr>
          <w:trHeight w:val="540"/>
          <w:jc w:val="center"/>
        </w:trPr>
        <w:tc>
          <w:tcPr>
            <w:tcW w:w="1716" w:type="dxa"/>
            <w:vMerge/>
            <w:shd w:val="clear" w:color="auto" w:fill="auto"/>
            <w:vAlign w:val="center"/>
            <w:hideMark/>
          </w:tcPr>
          <w:p w:rsidR="00A65B92" w:rsidRPr="004B287E" w:rsidRDefault="00A65B92" w:rsidP="005011BA">
            <w:pPr>
              <w:spacing w:after="0" w:line="240" w:lineRule="auto"/>
              <w:jc w:val="center"/>
              <w:rPr>
                <w:rFonts w:ascii="Arial" w:eastAsia="Times New Roman" w:hAnsi="Arial" w:cs="Arial"/>
                <w:b/>
                <w:bCs/>
                <w:sz w:val="18"/>
                <w:szCs w:val="18"/>
                <w:lang w:eastAsia="tr-TR"/>
              </w:rPr>
            </w:pPr>
          </w:p>
        </w:tc>
        <w:tc>
          <w:tcPr>
            <w:tcW w:w="1843" w:type="dxa"/>
            <w:vAlign w:val="center"/>
          </w:tcPr>
          <w:p w:rsidR="00A65B92" w:rsidRPr="004B287E" w:rsidRDefault="00A65B92" w:rsidP="005011BA">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Yıl içinde sürekli iş göremezlik geliri bağlananlar</w:t>
            </w:r>
          </w:p>
        </w:tc>
        <w:tc>
          <w:tcPr>
            <w:tcW w:w="1724" w:type="dxa"/>
            <w:vAlign w:val="center"/>
          </w:tcPr>
          <w:p w:rsidR="00A65B92" w:rsidRPr="004B287E" w:rsidRDefault="00A65B92" w:rsidP="00A65B92">
            <w:pPr>
              <w:spacing w:after="0" w:line="240" w:lineRule="auto"/>
              <w:jc w:val="center"/>
              <w:rPr>
                <w:rFonts w:ascii="Arial" w:hAnsi="Arial" w:cs="Arial"/>
                <w:b/>
                <w:bCs/>
                <w:sz w:val="18"/>
                <w:szCs w:val="18"/>
              </w:rPr>
            </w:pPr>
            <w:r w:rsidRPr="004B287E">
              <w:rPr>
                <w:rFonts w:ascii="Arial" w:eastAsia="Times New Roman" w:hAnsi="Arial" w:cs="Arial"/>
                <w:b/>
                <w:bCs/>
                <w:sz w:val="18"/>
                <w:szCs w:val="18"/>
                <w:lang w:eastAsia="tr-TR"/>
              </w:rPr>
              <w:t>Sürekli iş göremezlik geliri alanlar</w:t>
            </w:r>
          </w:p>
        </w:tc>
        <w:tc>
          <w:tcPr>
            <w:tcW w:w="1678" w:type="dxa"/>
            <w:shd w:val="clear" w:color="auto" w:fill="auto"/>
            <w:vAlign w:val="center"/>
            <w:hideMark/>
          </w:tcPr>
          <w:p w:rsidR="00A65B92" w:rsidRPr="004B287E" w:rsidRDefault="00A65B92" w:rsidP="005011BA">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Yıl içinde vazife</w:t>
            </w:r>
            <w:r w:rsidRPr="004B287E">
              <w:rPr>
                <w:rFonts w:ascii="Arial" w:eastAsia="Times New Roman" w:hAnsi="Arial" w:cs="Arial"/>
                <w:b/>
                <w:bCs/>
                <w:sz w:val="18"/>
                <w:szCs w:val="18"/>
                <w:lang w:eastAsia="tr-TR"/>
              </w:rPr>
              <w:br/>
              <w:t>malulü aylığı bağlananlar</w:t>
            </w:r>
          </w:p>
        </w:tc>
        <w:tc>
          <w:tcPr>
            <w:tcW w:w="1559" w:type="dxa"/>
            <w:shd w:val="clear" w:color="auto" w:fill="auto"/>
            <w:noWrap/>
            <w:vAlign w:val="center"/>
            <w:hideMark/>
          </w:tcPr>
          <w:p w:rsidR="00A65B92" w:rsidRPr="004B287E" w:rsidRDefault="00A65B92" w:rsidP="005011BA">
            <w:pPr>
              <w:spacing w:after="0" w:line="240" w:lineRule="auto"/>
              <w:jc w:val="center"/>
              <w:rPr>
                <w:rFonts w:ascii="Arial" w:eastAsia="Times New Roman" w:hAnsi="Arial" w:cs="Arial"/>
                <w:b/>
                <w:sz w:val="20"/>
                <w:szCs w:val="20"/>
                <w:lang w:eastAsia="tr-TR"/>
              </w:rPr>
            </w:pPr>
            <w:r w:rsidRPr="004B287E">
              <w:rPr>
                <w:rFonts w:ascii="Arial" w:eastAsia="Times New Roman" w:hAnsi="Arial" w:cs="Arial"/>
                <w:b/>
                <w:bCs/>
                <w:sz w:val="18"/>
                <w:szCs w:val="18"/>
                <w:lang w:eastAsia="tr-TR"/>
              </w:rPr>
              <w:t>Vazife malulü aylığı alanlar</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2007</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1.956</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56.105</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51</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9.239</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2008</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1.682</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56.668</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23</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6.401</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2009</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1.885</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57.422</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21</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6.543</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2010</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2.085</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58.496</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34</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6.608</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2011</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2.216</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58.966</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35</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6.711</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2012</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2.213</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60.612</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44</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6.858</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2013</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1.694</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61.403</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61</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6.921</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2014</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1.509</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62.097</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145</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11.536</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2015</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3.596</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65.361</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182</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11.939</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2016</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4.642</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69.924</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181</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12.170</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2017</w:t>
            </w:r>
          </w:p>
        </w:tc>
        <w:tc>
          <w:tcPr>
            <w:tcW w:w="1843"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4.226</w:t>
            </w:r>
          </w:p>
        </w:tc>
        <w:tc>
          <w:tcPr>
            <w:tcW w:w="1724" w:type="dxa"/>
            <w:vAlign w:val="center"/>
          </w:tcPr>
          <w:p w:rsidR="00A65B92" w:rsidRPr="004B287E" w:rsidRDefault="00A65B92" w:rsidP="005011BA">
            <w:pPr>
              <w:spacing w:after="0" w:line="240" w:lineRule="auto"/>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72.831</w:t>
            </w:r>
          </w:p>
        </w:tc>
        <w:tc>
          <w:tcPr>
            <w:tcW w:w="1678"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632</w:t>
            </w:r>
          </w:p>
        </w:tc>
        <w:tc>
          <w:tcPr>
            <w:tcW w:w="1559" w:type="dxa"/>
            <w:shd w:val="clear" w:color="auto" w:fill="auto"/>
            <w:noWrap/>
            <w:vAlign w:val="center"/>
            <w:hideMark/>
          </w:tcPr>
          <w:p w:rsidR="00A65B92" w:rsidRPr="004B287E" w:rsidRDefault="00A65B92" w:rsidP="005011BA">
            <w:pPr>
              <w:spacing w:after="0" w:line="240" w:lineRule="auto"/>
              <w:ind w:firstLineChars="100" w:firstLine="180"/>
              <w:jc w:val="right"/>
              <w:rPr>
                <w:rFonts w:ascii="Arial" w:eastAsia="Times New Roman" w:hAnsi="Arial" w:cs="Arial"/>
                <w:sz w:val="18"/>
                <w:szCs w:val="18"/>
                <w:lang w:eastAsia="tr-TR"/>
              </w:rPr>
            </w:pPr>
            <w:r w:rsidRPr="004B287E">
              <w:rPr>
                <w:rFonts w:ascii="Arial" w:eastAsia="Times New Roman" w:hAnsi="Arial" w:cs="Arial"/>
                <w:sz w:val="18"/>
                <w:szCs w:val="18"/>
                <w:lang w:eastAsia="tr-TR"/>
              </w:rPr>
              <w:t>12.934</w:t>
            </w:r>
          </w:p>
        </w:tc>
      </w:tr>
      <w:tr w:rsidR="00CE4C4B" w:rsidRPr="004B287E" w:rsidTr="00CC6E03">
        <w:trPr>
          <w:trHeight w:val="300"/>
          <w:jc w:val="center"/>
        </w:trPr>
        <w:tc>
          <w:tcPr>
            <w:tcW w:w="1716" w:type="dxa"/>
            <w:shd w:val="clear" w:color="auto" w:fill="auto"/>
            <w:noWrap/>
            <w:vAlign w:val="center"/>
            <w:hideMark/>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2007-2017 Toplam</w:t>
            </w:r>
          </w:p>
        </w:tc>
        <w:tc>
          <w:tcPr>
            <w:tcW w:w="1843" w:type="dxa"/>
            <w:vAlign w:val="center"/>
          </w:tcPr>
          <w:p w:rsidR="00A65B92" w:rsidRPr="004B287E" w:rsidRDefault="00A65B92" w:rsidP="005011BA">
            <w:pPr>
              <w:spacing w:after="0" w:line="240" w:lineRule="auto"/>
              <w:jc w:val="right"/>
              <w:rPr>
                <w:rFonts w:ascii="Arial" w:eastAsia="Times New Roman" w:hAnsi="Arial" w:cs="Arial"/>
                <w:b/>
                <w:sz w:val="18"/>
                <w:szCs w:val="18"/>
                <w:lang w:eastAsia="tr-TR"/>
              </w:rPr>
            </w:pPr>
            <w:r w:rsidRPr="004B287E">
              <w:rPr>
                <w:rFonts w:ascii="Arial" w:eastAsia="Times New Roman" w:hAnsi="Arial" w:cs="Arial"/>
                <w:b/>
                <w:sz w:val="18"/>
                <w:szCs w:val="18"/>
                <w:lang w:eastAsia="tr-TR"/>
              </w:rPr>
              <w:t>27.704</w:t>
            </w:r>
          </w:p>
        </w:tc>
        <w:tc>
          <w:tcPr>
            <w:tcW w:w="1724" w:type="dxa"/>
            <w:vAlign w:val="center"/>
          </w:tcPr>
          <w:p w:rsidR="00A65B92" w:rsidRPr="004B287E" w:rsidRDefault="00A65B92" w:rsidP="005011BA">
            <w:pPr>
              <w:spacing w:after="0" w:line="240" w:lineRule="auto"/>
              <w:jc w:val="right"/>
              <w:rPr>
                <w:rFonts w:ascii="Arial" w:eastAsia="Times New Roman" w:hAnsi="Arial" w:cs="Arial"/>
                <w:b/>
                <w:sz w:val="18"/>
                <w:szCs w:val="18"/>
                <w:lang w:eastAsia="tr-TR"/>
              </w:rPr>
            </w:pPr>
            <w:r w:rsidRPr="004B287E">
              <w:rPr>
                <w:rFonts w:ascii="Arial" w:eastAsia="Times New Roman" w:hAnsi="Arial" w:cs="Arial"/>
                <w:b/>
                <w:sz w:val="18"/>
                <w:szCs w:val="18"/>
                <w:lang w:eastAsia="tr-TR"/>
              </w:rPr>
              <w:t>--</w:t>
            </w:r>
          </w:p>
        </w:tc>
        <w:tc>
          <w:tcPr>
            <w:tcW w:w="1678" w:type="dxa"/>
            <w:shd w:val="clear" w:color="auto" w:fill="auto"/>
            <w:noWrap/>
            <w:vAlign w:val="center"/>
            <w:hideMark/>
          </w:tcPr>
          <w:p w:rsidR="00A65B92" w:rsidRPr="004B287E" w:rsidRDefault="00A65B92" w:rsidP="005011BA">
            <w:pPr>
              <w:spacing w:after="0" w:line="240" w:lineRule="auto"/>
              <w:jc w:val="right"/>
              <w:rPr>
                <w:rFonts w:ascii="Arial" w:eastAsia="Times New Roman" w:hAnsi="Arial" w:cs="Arial"/>
                <w:b/>
                <w:sz w:val="18"/>
                <w:szCs w:val="18"/>
                <w:lang w:eastAsia="tr-TR"/>
              </w:rPr>
            </w:pPr>
            <w:r w:rsidRPr="004B287E">
              <w:rPr>
                <w:rFonts w:ascii="Arial" w:eastAsia="Times New Roman" w:hAnsi="Arial" w:cs="Arial"/>
                <w:b/>
                <w:sz w:val="18"/>
                <w:szCs w:val="18"/>
                <w:lang w:eastAsia="tr-TR"/>
              </w:rPr>
              <w:t>1.409</w:t>
            </w:r>
          </w:p>
        </w:tc>
        <w:tc>
          <w:tcPr>
            <w:tcW w:w="1559" w:type="dxa"/>
            <w:shd w:val="clear" w:color="auto" w:fill="auto"/>
            <w:noWrap/>
            <w:vAlign w:val="center"/>
            <w:hideMark/>
          </w:tcPr>
          <w:p w:rsidR="00A65B92" w:rsidRPr="004B287E" w:rsidRDefault="00A65B92" w:rsidP="005011BA">
            <w:pPr>
              <w:spacing w:after="0" w:line="240" w:lineRule="auto"/>
              <w:jc w:val="right"/>
              <w:rPr>
                <w:rFonts w:ascii="Arial" w:eastAsia="Times New Roman" w:hAnsi="Arial" w:cs="Arial"/>
                <w:b/>
                <w:sz w:val="18"/>
                <w:szCs w:val="18"/>
                <w:lang w:eastAsia="tr-TR"/>
              </w:rPr>
            </w:pPr>
            <w:r w:rsidRPr="004B287E">
              <w:rPr>
                <w:rFonts w:ascii="Arial" w:eastAsia="Times New Roman" w:hAnsi="Arial" w:cs="Arial"/>
                <w:b/>
                <w:sz w:val="18"/>
                <w:szCs w:val="18"/>
                <w:lang w:eastAsia="tr-TR"/>
              </w:rPr>
              <w:t>--</w:t>
            </w:r>
          </w:p>
        </w:tc>
      </w:tr>
      <w:tr w:rsidR="00CE4C4B" w:rsidRPr="004B287E" w:rsidTr="00CC6E03">
        <w:trPr>
          <w:trHeight w:val="300"/>
          <w:jc w:val="center"/>
        </w:trPr>
        <w:tc>
          <w:tcPr>
            <w:tcW w:w="1716" w:type="dxa"/>
            <w:shd w:val="clear" w:color="auto" w:fill="auto"/>
            <w:noWrap/>
            <w:vAlign w:val="center"/>
          </w:tcPr>
          <w:p w:rsidR="00A65B92" w:rsidRPr="004B287E" w:rsidRDefault="00A65B92" w:rsidP="00A65B92">
            <w:pPr>
              <w:spacing w:after="0" w:line="240" w:lineRule="auto"/>
              <w:jc w:val="center"/>
              <w:rPr>
                <w:rFonts w:ascii="Arial" w:eastAsia="Times New Roman" w:hAnsi="Arial" w:cs="Arial"/>
                <w:b/>
                <w:bCs/>
                <w:sz w:val="18"/>
                <w:szCs w:val="18"/>
                <w:lang w:eastAsia="tr-TR"/>
              </w:rPr>
            </w:pPr>
            <w:r w:rsidRPr="004B287E">
              <w:rPr>
                <w:rFonts w:ascii="Arial" w:eastAsia="Times New Roman" w:hAnsi="Arial" w:cs="Arial"/>
                <w:b/>
                <w:bCs/>
                <w:sz w:val="18"/>
                <w:szCs w:val="18"/>
                <w:lang w:eastAsia="tr-TR"/>
              </w:rPr>
              <w:t>11 Yıllık Ortalama</w:t>
            </w:r>
          </w:p>
        </w:tc>
        <w:tc>
          <w:tcPr>
            <w:tcW w:w="1843" w:type="dxa"/>
            <w:vAlign w:val="center"/>
          </w:tcPr>
          <w:p w:rsidR="00A65B92" w:rsidRPr="004B287E" w:rsidRDefault="00A65B92" w:rsidP="005011BA">
            <w:pPr>
              <w:spacing w:after="0" w:line="240" w:lineRule="auto"/>
              <w:jc w:val="right"/>
              <w:rPr>
                <w:rFonts w:ascii="Arial" w:eastAsia="Times New Roman" w:hAnsi="Arial" w:cs="Arial"/>
                <w:i/>
                <w:sz w:val="18"/>
                <w:szCs w:val="18"/>
                <w:lang w:eastAsia="tr-TR"/>
              </w:rPr>
            </w:pPr>
            <w:r w:rsidRPr="004B287E">
              <w:rPr>
                <w:rFonts w:ascii="Arial" w:eastAsia="Times New Roman" w:hAnsi="Arial" w:cs="Arial"/>
                <w:i/>
                <w:sz w:val="18"/>
                <w:szCs w:val="18"/>
                <w:lang w:eastAsia="tr-TR"/>
              </w:rPr>
              <w:t>2.518</w:t>
            </w:r>
          </w:p>
        </w:tc>
        <w:tc>
          <w:tcPr>
            <w:tcW w:w="1724" w:type="dxa"/>
            <w:vAlign w:val="center"/>
          </w:tcPr>
          <w:p w:rsidR="00A65B92" w:rsidRPr="004B287E" w:rsidRDefault="00A65B92" w:rsidP="005011BA">
            <w:pPr>
              <w:spacing w:after="0" w:line="240" w:lineRule="auto"/>
              <w:jc w:val="right"/>
              <w:rPr>
                <w:rFonts w:ascii="Arial" w:eastAsia="Times New Roman" w:hAnsi="Arial" w:cs="Arial"/>
                <w:i/>
                <w:sz w:val="18"/>
                <w:szCs w:val="18"/>
                <w:lang w:eastAsia="tr-TR"/>
              </w:rPr>
            </w:pPr>
            <w:r w:rsidRPr="004B287E">
              <w:rPr>
                <w:rFonts w:ascii="Arial" w:eastAsia="Times New Roman" w:hAnsi="Arial" w:cs="Arial"/>
                <w:i/>
                <w:sz w:val="18"/>
                <w:szCs w:val="18"/>
                <w:lang w:eastAsia="tr-TR"/>
              </w:rPr>
              <w:t>--</w:t>
            </w:r>
          </w:p>
        </w:tc>
        <w:tc>
          <w:tcPr>
            <w:tcW w:w="1678" w:type="dxa"/>
            <w:shd w:val="clear" w:color="auto" w:fill="auto"/>
            <w:noWrap/>
            <w:vAlign w:val="center"/>
          </w:tcPr>
          <w:p w:rsidR="00A65B92" w:rsidRPr="004B287E" w:rsidRDefault="00A65B92" w:rsidP="005011BA">
            <w:pPr>
              <w:spacing w:after="0" w:line="240" w:lineRule="auto"/>
              <w:jc w:val="right"/>
              <w:rPr>
                <w:rFonts w:ascii="Arial" w:eastAsia="Times New Roman" w:hAnsi="Arial" w:cs="Arial"/>
                <w:i/>
                <w:sz w:val="18"/>
                <w:szCs w:val="18"/>
                <w:lang w:eastAsia="tr-TR"/>
              </w:rPr>
            </w:pPr>
            <w:r w:rsidRPr="004B287E">
              <w:rPr>
                <w:rFonts w:ascii="Arial" w:eastAsia="Times New Roman" w:hAnsi="Arial" w:cs="Arial"/>
                <w:i/>
                <w:sz w:val="18"/>
                <w:szCs w:val="18"/>
                <w:lang w:eastAsia="tr-TR"/>
              </w:rPr>
              <w:t>128</w:t>
            </w:r>
          </w:p>
        </w:tc>
        <w:tc>
          <w:tcPr>
            <w:tcW w:w="1559" w:type="dxa"/>
            <w:shd w:val="clear" w:color="auto" w:fill="auto"/>
            <w:noWrap/>
            <w:vAlign w:val="center"/>
          </w:tcPr>
          <w:p w:rsidR="00A65B92" w:rsidRPr="004B287E" w:rsidRDefault="00A65B92" w:rsidP="005011BA">
            <w:pPr>
              <w:spacing w:after="0" w:line="240" w:lineRule="auto"/>
              <w:jc w:val="right"/>
              <w:rPr>
                <w:rFonts w:ascii="Arial" w:eastAsia="Times New Roman" w:hAnsi="Arial" w:cs="Arial"/>
                <w:i/>
                <w:sz w:val="18"/>
                <w:szCs w:val="18"/>
                <w:lang w:eastAsia="tr-TR"/>
              </w:rPr>
            </w:pPr>
            <w:r w:rsidRPr="004B287E">
              <w:rPr>
                <w:rFonts w:ascii="Arial" w:eastAsia="Times New Roman" w:hAnsi="Arial" w:cs="Arial"/>
                <w:i/>
                <w:sz w:val="18"/>
                <w:szCs w:val="18"/>
                <w:lang w:eastAsia="tr-TR"/>
              </w:rPr>
              <w:t>--</w:t>
            </w:r>
          </w:p>
        </w:tc>
      </w:tr>
    </w:tbl>
    <w:p w:rsidR="00A65B92" w:rsidRPr="004B287E" w:rsidRDefault="00A65B92" w:rsidP="00AE750A">
      <w:pPr>
        <w:spacing w:after="0" w:line="240" w:lineRule="auto"/>
        <w:jc w:val="center"/>
        <w:rPr>
          <w:i/>
        </w:rPr>
      </w:pPr>
      <w:r w:rsidRPr="004B287E">
        <w:rPr>
          <w:b/>
          <w:i/>
        </w:rPr>
        <w:t>Kaynak</w:t>
      </w:r>
      <w:r w:rsidRPr="004B287E">
        <w:rPr>
          <w:i/>
        </w:rPr>
        <w:t xml:space="preserve">: SGK 2017 İstatistikleri Tablo </w:t>
      </w:r>
      <w:proofErr w:type="gramStart"/>
      <w:r w:rsidRPr="004B287E">
        <w:rPr>
          <w:i/>
        </w:rPr>
        <w:t>2.9</w:t>
      </w:r>
      <w:proofErr w:type="gramEnd"/>
      <w:r w:rsidRPr="004B287E">
        <w:rPr>
          <w:i/>
        </w:rPr>
        <w:t>, Tablo 2.10, Tablo 2.48 ve Tablo 2.49</w:t>
      </w:r>
    </w:p>
    <w:p w:rsidR="00A65B92" w:rsidRPr="004B287E" w:rsidRDefault="00A65B92" w:rsidP="00A65B92"/>
    <w:p w:rsidR="00010F4E" w:rsidRPr="004B287E" w:rsidRDefault="001B10CB" w:rsidP="007104AF">
      <w:pPr>
        <w:ind w:firstLine="567"/>
        <w:jc w:val="both"/>
      </w:pPr>
      <w:r w:rsidRPr="004B287E">
        <w:t xml:space="preserve">İş kazaları ve meslek hastalıkları hangi boyutta yaşanırsa yaşansın maruz kalan kişi için önemli sonuçlar doğurmaktadır. Öte yandan sürekli iş göremezlik durumu </w:t>
      </w:r>
      <w:r w:rsidR="00BE5F33" w:rsidRPr="004B287E">
        <w:t>daha da ağır sonuçlar üreten vakalardır</w:t>
      </w:r>
      <w:r w:rsidRPr="004B287E">
        <w:t xml:space="preserve">. </w:t>
      </w:r>
      <w:r w:rsidR="00010F4E" w:rsidRPr="004B287E">
        <w:t>Tablo-</w:t>
      </w:r>
      <w:r w:rsidR="00D91D3E" w:rsidRPr="004B287E">
        <w:t>5</w:t>
      </w:r>
      <w:r w:rsidR="00010F4E" w:rsidRPr="004B287E">
        <w:t>'te 2007-2017 yılları arasında işçilere bağlanan sürekli iş göremezlik geliri ve kamu çalışanlarına bağlanan vazife malullüğü aylığı sayıları hakkında veriler bulunmaktadır</w:t>
      </w:r>
      <w:r w:rsidR="00BA5EA3" w:rsidRPr="004B287E">
        <w:rPr>
          <w:rStyle w:val="DipnotBavurusu"/>
        </w:rPr>
        <w:footnoteReference w:id="2"/>
      </w:r>
      <w:r w:rsidR="00010F4E" w:rsidRPr="004B287E">
        <w:t xml:space="preserve">. </w:t>
      </w:r>
    </w:p>
    <w:p w:rsidR="001B10CB" w:rsidRPr="004B287E" w:rsidRDefault="001B10CB" w:rsidP="007104AF">
      <w:pPr>
        <w:ind w:firstLine="567"/>
        <w:jc w:val="both"/>
      </w:pPr>
      <w:r w:rsidRPr="004B287E">
        <w:t xml:space="preserve">2017 yılında </w:t>
      </w:r>
      <w:r w:rsidR="00010F4E" w:rsidRPr="004B287E">
        <w:t xml:space="preserve">işçilerden </w:t>
      </w:r>
      <w:r w:rsidRPr="004B287E">
        <w:t xml:space="preserve">3.987'si iş kazası ve 239'u meslek hastalığı sonucunda olmak üzere toplam 4.226 kişiye sürekli iş göremezlik geliri bağlanmıştır. </w:t>
      </w:r>
      <w:r w:rsidR="00B654FB" w:rsidRPr="004B287E">
        <w:t xml:space="preserve">Geçmişten beri gelen birikimli sayılara bakıldığında ise 2017 yılı itibariyle 68 bin'i iş kazası, 4 bin 800'ü meslek hastalığı nedeniyle olmak üzere 72 bin 800 kişiye sürekli iş göremezlik geliri bağlı olduğu görülmektedir. </w:t>
      </w:r>
      <w:r w:rsidR="00010F4E" w:rsidRPr="004B287E">
        <w:t xml:space="preserve">2007-2017 döneminde yılda ortalama 2 bin 500'ün üstünde sürekli iş göremezlik geliri bağlanmıştır. Sürekli iş göremezlik geliri bağlananların sayısı son 3 yılda önemli artış göstermiştir.  </w:t>
      </w:r>
    </w:p>
    <w:p w:rsidR="001B10CB" w:rsidRPr="004B287E" w:rsidRDefault="00C65831" w:rsidP="007104AF">
      <w:pPr>
        <w:ind w:firstLine="567"/>
        <w:jc w:val="both"/>
      </w:pPr>
      <w:r w:rsidRPr="004B287E">
        <w:t xml:space="preserve">Yukarıda da söz edildiği gibi 5510 sayılı SSGSS Yasası'nda kamu çalışanlarının yaptıkları işten kaynaklanan nedenlerle geçirdiği kazalar ve yaşadığı sağlık sorunları iş kazası ve meslek hastalığı olarak değerlendirilmediği için SGK istatistiklerinde </w:t>
      </w:r>
      <w:r w:rsidR="00971310" w:rsidRPr="004B287E">
        <w:t>de söz konusu</w:t>
      </w:r>
      <w:r w:rsidRPr="004B287E">
        <w:t xml:space="preserve"> veriler arasında yer almamaktadır. Ancak, kamu çalışanları</w:t>
      </w:r>
      <w:r w:rsidR="00010F4E" w:rsidRPr="004B287E">
        <w:t>,</w:t>
      </w:r>
      <w:r w:rsidRPr="004B287E">
        <w:t xml:space="preserve"> yaptıkları iş nedeniyle çalışma gücünün en az %60'ını veya vazifelerini yapamayacak </w:t>
      </w:r>
      <w:r w:rsidRPr="004B287E">
        <w:lastRenderedPageBreak/>
        <w:t xml:space="preserve">şekilde meslekte kazanma gücünü kaybettiği </w:t>
      </w:r>
      <w:proofErr w:type="spellStart"/>
      <w:r w:rsidRPr="004B287E">
        <w:t>SGK'nın</w:t>
      </w:r>
      <w:proofErr w:type="spellEnd"/>
      <w:r w:rsidRPr="004B287E">
        <w:t xml:space="preserve"> ilgili bi</w:t>
      </w:r>
      <w:r w:rsidR="00010F4E" w:rsidRPr="004B287E">
        <w:t xml:space="preserve">rimi tarafından tespit edilmesi </w:t>
      </w:r>
      <w:r w:rsidRPr="004B287E">
        <w:t>durumunda</w:t>
      </w:r>
      <w:r w:rsidR="00010F4E" w:rsidRPr="004B287E">
        <w:t>,</w:t>
      </w:r>
      <w:r w:rsidRPr="004B287E">
        <w:t xml:space="preserve"> vazife malûlü sayılmaktadırlar. </w:t>
      </w:r>
      <w:r w:rsidR="00B26C32" w:rsidRPr="004B287E">
        <w:t xml:space="preserve">Savaş ve çatışmalar nedeniyle malûliyeti yaşayan kamu çalışanları da (uzman ve sözleşmeli erbaş ve erler ile astsubay ve subaylar) bu kapsamda yer almaktadırlar. </w:t>
      </w:r>
      <w:r w:rsidR="002319B3" w:rsidRPr="004B287E">
        <w:t xml:space="preserve">Ancak biz </w:t>
      </w:r>
      <w:r w:rsidR="00971310" w:rsidRPr="004B287E">
        <w:t>bu sayıları ayrıştır</w:t>
      </w:r>
      <w:r w:rsidR="002319B3" w:rsidRPr="004B287E">
        <w:t>acak verilere sahip değiliz.</w:t>
      </w:r>
      <w:r w:rsidR="00971310" w:rsidRPr="004B287E">
        <w:t xml:space="preserve"> </w:t>
      </w:r>
    </w:p>
    <w:p w:rsidR="00B26C32" w:rsidRPr="004B287E" w:rsidRDefault="00B26C32" w:rsidP="007104AF">
      <w:pPr>
        <w:ind w:firstLine="567"/>
        <w:jc w:val="both"/>
      </w:pPr>
      <w:r w:rsidRPr="004B287E">
        <w:t>Tablo-</w:t>
      </w:r>
      <w:r w:rsidR="00D91D3E" w:rsidRPr="004B287E">
        <w:t>5</w:t>
      </w:r>
      <w:r w:rsidRPr="004B287E">
        <w:t xml:space="preserve">'e göre 2007 yılı sonrasında vazife malûlü aylığı bağlananların sayısı giderek artma eğilimindedir ve 2017 yılında 632 kişiye yükselmiştir. 2007-2017 yılları arasında her yıl ortalama 128 kişiye vazife malûlü aylığı bağlanmaktadır. Kamu çalışanlarına ilişkin olarak </w:t>
      </w:r>
      <w:proofErr w:type="spellStart"/>
      <w:r w:rsidRPr="004B287E">
        <w:t>SGK'nın</w:t>
      </w:r>
      <w:proofErr w:type="spellEnd"/>
      <w:r w:rsidRPr="004B287E">
        <w:t xml:space="preserve"> sunduğu verilerden iş kazası veya meslek hastalığı nedeniyle meslekte kazanma gücünü %60'tan daha az kaybedenlerin sayısıyla, ölen kamu çalışanlarına ilişkin bilgi sağlanamamaktadır. </w:t>
      </w:r>
      <w:r w:rsidR="00B165D8" w:rsidRPr="004B287E">
        <w:t xml:space="preserve">Ancak, bu veriler 2017 yılında en az 632 kamu çalışanının çalışma gücünün en az %60'ını kaybetmesine neden olacak şekilde işle ilgili kaza veya hastalık geçirdiğini göstermektedir. </w:t>
      </w:r>
    </w:p>
    <w:p w:rsidR="00E14D18" w:rsidRPr="004B287E" w:rsidRDefault="002319B3" w:rsidP="00A6168D">
      <w:pPr>
        <w:pStyle w:val="Balk3"/>
        <w:numPr>
          <w:ilvl w:val="1"/>
          <w:numId w:val="10"/>
        </w:numPr>
      </w:pPr>
      <w:bookmarkStart w:id="16" w:name="_Toc536280781"/>
      <w:r w:rsidRPr="004B287E">
        <w:t>İş Cinayetleri</w:t>
      </w:r>
      <w:bookmarkEnd w:id="16"/>
    </w:p>
    <w:p w:rsidR="00FA7216" w:rsidRPr="004B287E" w:rsidRDefault="00FA7216" w:rsidP="007104AF">
      <w:pPr>
        <w:ind w:firstLine="567"/>
        <w:jc w:val="both"/>
      </w:pPr>
      <w:r w:rsidRPr="004B287E">
        <w:t>Bu bölümde resmi kayıtlarda iş kazası ve meslek hastalığı olarak tanımlanan iş cinayetleri üzerinde durulacaktır.</w:t>
      </w:r>
      <w:r w:rsidR="00B27387" w:rsidRPr="004B287E">
        <w:t xml:space="preserve"> Ancak, SGK kayıtlarında meslek hastalıkları sonucu ölümlerin üstü örtüldüğü için </w:t>
      </w:r>
      <w:r w:rsidR="001A656C" w:rsidRPr="004B287E">
        <w:t xml:space="preserve">yalnızca </w:t>
      </w:r>
      <w:r w:rsidR="00B27387" w:rsidRPr="004B287E">
        <w:t xml:space="preserve">iş kazaları hakkında bazı bilgiler bulunabilmektedir. </w:t>
      </w:r>
    </w:p>
    <w:p w:rsidR="00C45F9B" w:rsidRPr="004B287E" w:rsidRDefault="0063539D" w:rsidP="007104AF">
      <w:pPr>
        <w:ind w:firstLine="567"/>
        <w:jc w:val="both"/>
      </w:pPr>
      <w:r w:rsidRPr="004B287E">
        <w:t xml:space="preserve">İş cinayetleri işkolları açısından değerlendirildiğinde ilk sırada 587 kişinin hayatını kaybettiği inşaat işkolunun bulunduğu görülmektedir. </w:t>
      </w:r>
      <w:r w:rsidR="00864B78" w:rsidRPr="004B287E">
        <w:t xml:space="preserve">SGK tarafından kayıt altına alınan tüm ölümlerin %36'sı inşaat işkolunda meydana gelmiştir. </w:t>
      </w:r>
      <w:r w:rsidRPr="004B287E">
        <w:t>Ardından taşımacılık</w:t>
      </w:r>
      <w:r w:rsidR="00864B78" w:rsidRPr="004B287E">
        <w:t xml:space="preserve"> (%14)</w:t>
      </w:r>
      <w:r w:rsidRPr="004B287E">
        <w:t>, ticaret-büro-eğitim-güzel sanatlar işkolu</w:t>
      </w:r>
      <w:r w:rsidR="00864B78" w:rsidRPr="004B287E">
        <w:t xml:space="preserve"> (%10)</w:t>
      </w:r>
      <w:r w:rsidRPr="004B287E">
        <w:t>, metal işkolu</w:t>
      </w:r>
      <w:r w:rsidR="00864B78" w:rsidRPr="004B287E">
        <w:t xml:space="preserve"> (%7,6), madencilik ve taş ocakları işkolu (%5,3)</w:t>
      </w:r>
      <w:r w:rsidR="00D91D3E" w:rsidRPr="004B287E">
        <w:t xml:space="preserve"> gelmektedir (Tablo-6)</w:t>
      </w:r>
      <w:r w:rsidR="007B7648" w:rsidRPr="004B287E">
        <w:t>.</w:t>
      </w:r>
    </w:p>
    <w:p w:rsidR="00E52945" w:rsidRPr="004B287E" w:rsidRDefault="00E52945" w:rsidP="00E52945">
      <w:pPr>
        <w:ind w:firstLine="567"/>
        <w:jc w:val="both"/>
      </w:pPr>
      <w:proofErr w:type="spellStart"/>
      <w:r w:rsidRPr="004B287E">
        <w:t>Yüzbin</w:t>
      </w:r>
      <w:proofErr w:type="spellEnd"/>
      <w:r w:rsidRPr="004B287E">
        <w:t xml:space="preserve"> kişide ölüm hızı 44,9 ile en fazla madencilik ve taş ocakları işkolundadır. Ölüm hızlarının en yüksek olduğu diğer işkolları sırasıyla inşaat, çimento-toprak-cam ve taşımacılık işkollarıdır. İşkollarında çalışan işçi sayılarıyla hesaplanan ortalama ölüm hızı 11,8 olarak görülmektedir. Bu verilere göre en düşük ölüm hızı </w:t>
      </w:r>
      <w:proofErr w:type="spellStart"/>
      <w:r w:rsidRPr="004B287E">
        <w:t>yüzbinde</w:t>
      </w:r>
      <w:proofErr w:type="spellEnd"/>
      <w:r w:rsidRPr="004B287E">
        <w:t xml:space="preserve"> 0,7 ile banka-finans-sigorta işkolundadır. Diğer görece düşük işkolları ise sağlık-sosyal hizmetler, dokuma-hazır giyim-deri, basın-yayın-gazetecilik, ticaret-büro-eğitim-güzel sanatlar ve iletişim işkollarıdır. </w:t>
      </w:r>
    </w:p>
    <w:p w:rsidR="00E52945" w:rsidRPr="004B287E" w:rsidRDefault="00E52945" w:rsidP="007104AF">
      <w:pPr>
        <w:ind w:firstLine="567"/>
        <w:jc w:val="both"/>
      </w:pPr>
    </w:p>
    <w:p w:rsidR="00E52945" w:rsidRPr="004B287E" w:rsidRDefault="00E52945">
      <w:pPr>
        <w:rPr>
          <w:b/>
        </w:rPr>
      </w:pPr>
      <w:r w:rsidRPr="004B287E">
        <w:rPr>
          <w:b/>
        </w:rPr>
        <w:br w:type="page"/>
      </w:r>
    </w:p>
    <w:p w:rsidR="004E74C8" w:rsidRPr="004B287E" w:rsidRDefault="00B53B14" w:rsidP="00D65C41">
      <w:pPr>
        <w:pStyle w:val="TabloBal"/>
        <w:rPr>
          <w:color w:val="auto"/>
        </w:rPr>
      </w:pPr>
      <w:bookmarkStart w:id="17" w:name="_Toc536279465"/>
      <w:r w:rsidRPr="004B287E">
        <w:rPr>
          <w:b/>
          <w:color w:val="auto"/>
        </w:rPr>
        <w:lastRenderedPageBreak/>
        <w:t>Tablo-</w:t>
      </w:r>
      <w:r w:rsidR="00D91D3E" w:rsidRPr="004B287E">
        <w:rPr>
          <w:b/>
          <w:color w:val="auto"/>
        </w:rPr>
        <w:t>6</w:t>
      </w:r>
      <w:r w:rsidRPr="004B287E">
        <w:rPr>
          <w:b/>
          <w:color w:val="auto"/>
        </w:rPr>
        <w:t>:</w:t>
      </w:r>
      <w:r w:rsidRPr="004B287E">
        <w:rPr>
          <w:color w:val="auto"/>
        </w:rPr>
        <w:t xml:space="preserve"> </w:t>
      </w:r>
      <w:r w:rsidR="004E74C8" w:rsidRPr="004B287E">
        <w:rPr>
          <w:color w:val="auto"/>
        </w:rPr>
        <w:t xml:space="preserve">İş Kazası sonucu ölen işçilerin (4-1/a) </w:t>
      </w:r>
      <w:r w:rsidR="00C04B9D" w:rsidRPr="004B287E">
        <w:rPr>
          <w:color w:val="auto"/>
        </w:rPr>
        <w:t>İşkollarına</w:t>
      </w:r>
      <w:r w:rsidR="004E74C8" w:rsidRPr="004B287E">
        <w:rPr>
          <w:color w:val="auto"/>
        </w:rPr>
        <w:t xml:space="preserve"> Dağılımı</w:t>
      </w:r>
      <w:r w:rsidR="00BB6C1D" w:rsidRPr="004B287E">
        <w:rPr>
          <w:color w:val="auto"/>
        </w:rPr>
        <w:t>*</w:t>
      </w:r>
      <w:r w:rsidR="00D91D3E" w:rsidRPr="004B287E">
        <w:rPr>
          <w:color w:val="auto"/>
        </w:rPr>
        <w:t>, 2017</w:t>
      </w:r>
      <w:bookmarkEnd w:id="17"/>
    </w:p>
    <w:tbl>
      <w:tblPr>
        <w:tblW w:w="943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724"/>
        <w:gridCol w:w="3969"/>
        <w:gridCol w:w="1559"/>
        <w:gridCol w:w="1701"/>
        <w:gridCol w:w="1483"/>
      </w:tblGrid>
      <w:tr w:rsidR="00CE4C4B" w:rsidRPr="004B287E" w:rsidTr="0051521C">
        <w:trPr>
          <w:trHeight w:val="300"/>
        </w:trPr>
        <w:tc>
          <w:tcPr>
            <w:tcW w:w="724"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b/>
                <w:lang w:eastAsia="tr-TR"/>
              </w:rPr>
            </w:pPr>
            <w:r w:rsidRPr="004B287E">
              <w:rPr>
                <w:rFonts w:ascii="Calibri" w:eastAsia="Times New Roman" w:hAnsi="Calibri" w:cs="Calibri"/>
                <w:b/>
                <w:lang w:eastAsia="tr-TR"/>
              </w:rPr>
              <w:t>No</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b/>
                <w:lang w:eastAsia="tr-TR"/>
              </w:rPr>
            </w:pPr>
            <w:r w:rsidRPr="004B287E">
              <w:rPr>
                <w:rFonts w:ascii="Calibri" w:eastAsia="Times New Roman" w:hAnsi="Calibri" w:cs="Calibri"/>
                <w:b/>
                <w:lang w:eastAsia="tr-TR"/>
              </w:rPr>
              <w:t>İşkolu Adı</w:t>
            </w:r>
          </w:p>
        </w:tc>
        <w:tc>
          <w:tcPr>
            <w:tcW w:w="155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b/>
                <w:lang w:eastAsia="tr-TR"/>
              </w:rPr>
            </w:pPr>
            <w:r w:rsidRPr="004B287E">
              <w:rPr>
                <w:rFonts w:ascii="Calibri" w:eastAsia="Times New Roman" w:hAnsi="Calibri" w:cs="Calibri"/>
                <w:b/>
                <w:lang w:eastAsia="tr-TR"/>
              </w:rPr>
              <w:t>İş kazası sonucu ölümler</w:t>
            </w:r>
          </w:p>
        </w:tc>
        <w:tc>
          <w:tcPr>
            <w:tcW w:w="1701"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b/>
                <w:lang w:eastAsia="tr-TR"/>
              </w:rPr>
            </w:pPr>
            <w:r w:rsidRPr="004B287E">
              <w:rPr>
                <w:rFonts w:ascii="Calibri" w:eastAsia="Times New Roman" w:hAnsi="Calibri" w:cs="Calibri"/>
                <w:b/>
                <w:lang w:eastAsia="tr-TR"/>
              </w:rPr>
              <w:t>2018 Ocak işkolu sayıları</w:t>
            </w:r>
          </w:p>
        </w:tc>
        <w:tc>
          <w:tcPr>
            <w:tcW w:w="1483" w:type="dxa"/>
            <w:shd w:val="clear" w:color="auto" w:fill="auto"/>
            <w:noWrap/>
            <w:vAlign w:val="bottom"/>
            <w:hideMark/>
          </w:tcPr>
          <w:p w:rsidR="00B53B14" w:rsidRPr="004B287E" w:rsidRDefault="00B53B14" w:rsidP="007F659E">
            <w:pPr>
              <w:spacing w:after="0" w:line="240" w:lineRule="auto"/>
              <w:rPr>
                <w:rFonts w:ascii="Calibri" w:eastAsia="Times New Roman" w:hAnsi="Calibri" w:cs="Calibri"/>
                <w:b/>
                <w:lang w:eastAsia="tr-TR"/>
              </w:rPr>
            </w:pPr>
            <w:r w:rsidRPr="004B287E">
              <w:rPr>
                <w:rFonts w:ascii="Calibri" w:eastAsia="Times New Roman" w:hAnsi="Calibri" w:cs="Calibri"/>
                <w:b/>
                <w:lang w:eastAsia="tr-TR"/>
              </w:rPr>
              <w:t xml:space="preserve">100.000 işçide ölüm </w:t>
            </w:r>
            <w:r w:rsidR="007F659E" w:rsidRPr="004B287E">
              <w:rPr>
                <w:rFonts w:ascii="Calibri" w:eastAsia="Times New Roman" w:hAnsi="Calibri" w:cs="Calibri"/>
                <w:b/>
                <w:lang w:eastAsia="tr-TR"/>
              </w:rPr>
              <w:t>hızı</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13</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İnşaat</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587</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1.747.228</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33,6</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15</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Taşımacılık</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233</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777.741</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30,0</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10</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Ticaret, Büro, Eğitim ve Güzel Sanatlar</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162</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3.477.748</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4,7</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12</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Metal</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124</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1.553.106</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8,0</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3</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Madencilik ve Taş Ocakları</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86</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191.538</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44,9</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20</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Genel İşler</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69</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1.046.832</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6,6</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11</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Çimento, Toprak ve Cam</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58</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173.550</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33,4</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18</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Konaklama ve Eğlence İşleri</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47</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861.471</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5,5</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2</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Gıda Sanayi</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41</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571.080</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7,2</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16</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Gemi Yapımı ve Deniz Taşımacılığı, Ardiye ve Antrepoculuk</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33</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168.839</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19,5</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5</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Dokuma, Hazır Giyim ve Deri</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32</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1.040.213</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3,1</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Avcılık, balıkçılık, tarım ve ormancılık</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31</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151.358</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20,5</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14</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Enerji</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30</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253.841</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11,8</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4</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Petrol, Kimya, Lastik, Plastik ve İlaç</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28</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482.142</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5,8</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6</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 xml:space="preserve">Ağaç ve </w:t>
            </w:r>
            <w:proofErr w:type="gramStart"/>
            <w:r w:rsidRPr="004B287E">
              <w:rPr>
                <w:rFonts w:ascii="Calibri" w:eastAsia="Times New Roman" w:hAnsi="Calibri" w:cs="Calibri"/>
                <w:lang w:eastAsia="tr-TR"/>
              </w:rPr>
              <w:t>Kağıt</w:t>
            </w:r>
            <w:proofErr w:type="gramEnd"/>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27</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241.878</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11,2</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19</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Savunma ve Güvenlik</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21</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295.701</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7,1</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17</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Sağlık ve Sosyal Hizmetler</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382.685</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3,1</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8</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Basın, Yayın ve Gazetecilik</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92.159</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4,3</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7</w:t>
            </w: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r w:rsidRPr="004B287E">
              <w:rPr>
                <w:rFonts w:ascii="Calibri" w:eastAsia="Times New Roman" w:hAnsi="Calibri" w:cs="Calibri"/>
                <w:lang w:eastAsia="tr-TR"/>
              </w:rPr>
              <w:t>İletişim</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61.660</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4,9</w:t>
            </w:r>
          </w:p>
        </w:tc>
      </w:tr>
      <w:tr w:rsidR="00CE4C4B" w:rsidRPr="004B287E" w:rsidTr="0051521C">
        <w:trPr>
          <w:trHeight w:val="300"/>
        </w:trPr>
        <w:tc>
          <w:tcPr>
            <w:tcW w:w="724" w:type="dxa"/>
            <w:shd w:val="clear" w:color="auto" w:fill="auto"/>
            <w:noWrap/>
            <w:vAlign w:val="bottom"/>
            <w:hideMark/>
          </w:tcPr>
          <w:p w:rsidR="00577A5C" w:rsidRPr="004B287E" w:rsidRDefault="00577A5C"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9</w:t>
            </w:r>
          </w:p>
        </w:tc>
        <w:tc>
          <w:tcPr>
            <w:tcW w:w="3969" w:type="dxa"/>
            <w:shd w:val="clear" w:color="auto" w:fill="auto"/>
            <w:noWrap/>
            <w:vAlign w:val="bottom"/>
            <w:hideMark/>
          </w:tcPr>
          <w:p w:rsidR="00577A5C" w:rsidRPr="004B287E" w:rsidRDefault="00577A5C" w:rsidP="00AE0C65">
            <w:pPr>
              <w:spacing w:after="0" w:line="240" w:lineRule="auto"/>
              <w:rPr>
                <w:rFonts w:ascii="Calibri" w:eastAsia="Times New Roman" w:hAnsi="Calibri" w:cs="Calibri"/>
                <w:lang w:eastAsia="tr-TR"/>
              </w:rPr>
            </w:pPr>
            <w:r w:rsidRPr="004B287E">
              <w:rPr>
                <w:rFonts w:ascii="Calibri" w:eastAsia="Times New Roman" w:hAnsi="Calibri" w:cs="Calibri"/>
                <w:lang w:eastAsia="tr-TR"/>
              </w:rPr>
              <w:t>Banka, Finans ve Sigorta</w:t>
            </w:r>
          </w:p>
        </w:tc>
        <w:tc>
          <w:tcPr>
            <w:tcW w:w="1559" w:type="dxa"/>
            <w:shd w:val="clear" w:color="auto" w:fill="auto"/>
            <w:noWrap/>
            <w:vAlign w:val="bottom"/>
            <w:hideMark/>
          </w:tcPr>
          <w:p w:rsidR="00577A5C" w:rsidRPr="004B287E" w:rsidRDefault="00577A5C"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w:t>
            </w:r>
          </w:p>
        </w:tc>
        <w:tc>
          <w:tcPr>
            <w:tcW w:w="1701" w:type="dxa"/>
            <w:shd w:val="clear" w:color="auto" w:fill="auto"/>
            <w:noWrap/>
            <w:vAlign w:val="bottom"/>
            <w:hideMark/>
          </w:tcPr>
          <w:p w:rsidR="00577A5C" w:rsidRPr="004B287E" w:rsidRDefault="00577A5C"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291.426</w:t>
            </w:r>
          </w:p>
        </w:tc>
        <w:tc>
          <w:tcPr>
            <w:tcW w:w="1483" w:type="dxa"/>
            <w:shd w:val="clear" w:color="auto" w:fill="auto"/>
            <w:noWrap/>
            <w:vAlign w:val="bottom"/>
            <w:hideMark/>
          </w:tcPr>
          <w:p w:rsidR="00577A5C" w:rsidRPr="004B287E" w:rsidRDefault="00577A5C"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0,7</w:t>
            </w:r>
          </w:p>
        </w:tc>
      </w:tr>
      <w:tr w:rsidR="00CE4C4B" w:rsidRPr="004B287E" w:rsidTr="0051521C">
        <w:trPr>
          <w:trHeight w:val="300"/>
        </w:trPr>
        <w:tc>
          <w:tcPr>
            <w:tcW w:w="724" w:type="dxa"/>
            <w:shd w:val="clear" w:color="auto" w:fill="auto"/>
            <w:noWrap/>
            <w:vAlign w:val="bottom"/>
            <w:hideMark/>
          </w:tcPr>
          <w:p w:rsidR="00B53B14" w:rsidRPr="004B287E" w:rsidRDefault="00B53B14" w:rsidP="00AE750A">
            <w:pPr>
              <w:spacing w:after="0" w:line="240" w:lineRule="auto"/>
              <w:jc w:val="both"/>
              <w:rPr>
                <w:rFonts w:ascii="Calibri" w:eastAsia="Times New Roman" w:hAnsi="Calibri" w:cs="Calibri"/>
                <w:lang w:eastAsia="tr-TR"/>
              </w:rPr>
            </w:pPr>
            <w:r w:rsidRPr="004B287E">
              <w:rPr>
                <w:rFonts w:ascii="Calibri" w:eastAsia="Times New Roman" w:hAnsi="Calibri" w:cs="Calibri"/>
                <w:lang w:eastAsia="tr-TR"/>
              </w:rPr>
              <w:t>-</w:t>
            </w:r>
          </w:p>
        </w:tc>
        <w:tc>
          <w:tcPr>
            <w:tcW w:w="3969" w:type="dxa"/>
            <w:shd w:val="clear" w:color="auto" w:fill="auto"/>
            <w:noWrap/>
            <w:vAlign w:val="bottom"/>
            <w:hideMark/>
          </w:tcPr>
          <w:p w:rsidR="00B53B14" w:rsidRPr="004B287E" w:rsidRDefault="001555CD" w:rsidP="001555CD">
            <w:pPr>
              <w:spacing w:after="0" w:line="240" w:lineRule="auto"/>
              <w:rPr>
                <w:rFonts w:ascii="Calibri" w:eastAsia="Times New Roman" w:hAnsi="Calibri" w:cs="Calibri"/>
                <w:lang w:eastAsia="tr-TR"/>
              </w:rPr>
            </w:pPr>
            <w:r w:rsidRPr="004B287E">
              <w:rPr>
                <w:rFonts w:ascii="Calibri" w:eastAsia="Times New Roman" w:hAnsi="Calibri" w:cs="Calibri"/>
                <w:lang w:eastAsia="tr-TR"/>
              </w:rPr>
              <w:t>İşkolu</w:t>
            </w:r>
            <w:r w:rsidR="002B6296" w:rsidRPr="004B287E">
              <w:rPr>
                <w:rFonts w:ascii="Calibri" w:eastAsia="Times New Roman" w:hAnsi="Calibri" w:cs="Calibri"/>
                <w:lang w:eastAsia="tr-TR"/>
              </w:rPr>
              <w:t xml:space="preserve"> t</w:t>
            </w:r>
            <w:r w:rsidR="00B53B14" w:rsidRPr="004B287E">
              <w:rPr>
                <w:rFonts w:ascii="Calibri" w:eastAsia="Times New Roman" w:hAnsi="Calibri" w:cs="Calibri"/>
                <w:lang w:eastAsia="tr-TR"/>
              </w:rPr>
              <w:t xml:space="preserve">espit </w:t>
            </w:r>
            <w:r w:rsidRPr="004B287E">
              <w:rPr>
                <w:rFonts w:ascii="Calibri" w:eastAsia="Times New Roman" w:hAnsi="Calibri" w:cs="Calibri"/>
                <w:lang w:eastAsia="tr-TR"/>
              </w:rPr>
              <w:t>edilemeyenler</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lang w:eastAsia="tr-TR"/>
              </w:rPr>
            </w:pPr>
          </w:p>
        </w:tc>
      </w:tr>
      <w:tr w:rsidR="00CE4C4B" w:rsidRPr="004B287E" w:rsidTr="0051521C">
        <w:trPr>
          <w:trHeight w:val="300"/>
        </w:trPr>
        <w:tc>
          <w:tcPr>
            <w:tcW w:w="724"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lang w:eastAsia="tr-TR"/>
              </w:rPr>
            </w:pPr>
          </w:p>
        </w:tc>
        <w:tc>
          <w:tcPr>
            <w:tcW w:w="3969" w:type="dxa"/>
            <w:shd w:val="clear" w:color="auto" w:fill="auto"/>
            <w:noWrap/>
            <w:vAlign w:val="bottom"/>
            <w:hideMark/>
          </w:tcPr>
          <w:p w:rsidR="00B53B14" w:rsidRPr="004B287E" w:rsidRDefault="00B53B14" w:rsidP="00B53B14">
            <w:pPr>
              <w:spacing w:after="0" w:line="240" w:lineRule="auto"/>
              <w:rPr>
                <w:rFonts w:ascii="Calibri" w:eastAsia="Times New Roman" w:hAnsi="Calibri" w:cs="Calibri"/>
                <w:b/>
                <w:lang w:eastAsia="tr-TR"/>
              </w:rPr>
            </w:pPr>
            <w:r w:rsidRPr="004B287E">
              <w:rPr>
                <w:rFonts w:ascii="Calibri" w:eastAsia="Times New Roman" w:hAnsi="Calibri" w:cs="Calibri"/>
                <w:b/>
                <w:lang w:eastAsia="tr-TR"/>
              </w:rPr>
              <w:t>TOPLAM</w:t>
            </w:r>
          </w:p>
        </w:tc>
        <w:tc>
          <w:tcPr>
            <w:tcW w:w="1559"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b/>
                <w:lang w:eastAsia="tr-TR"/>
              </w:rPr>
            </w:pPr>
            <w:r w:rsidRPr="004B287E">
              <w:rPr>
                <w:rFonts w:ascii="Calibri" w:eastAsia="Times New Roman" w:hAnsi="Calibri" w:cs="Calibri"/>
                <w:b/>
                <w:lang w:eastAsia="tr-TR"/>
              </w:rPr>
              <w:t>1.633</w:t>
            </w:r>
          </w:p>
        </w:tc>
        <w:tc>
          <w:tcPr>
            <w:tcW w:w="1701"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b/>
                <w:lang w:eastAsia="tr-TR"/>
              </w:rPr>
            </w:pPr>
            <w:r w:rsidRPr="004B287E">
              <w:rPr>
                <w:rFonts w:ascii="Calibri" w:eastAsia="Times New Roman" w:hAnsi="Calibri" w:cs="Calibri"/>
                <w:b/>
                <w:lang w:eastAsia="tr-TR"/>
              </w:rPr>
              <w:t>13.844.196</w:t>
            </w:r>
          </w:p>
        </w:tc>
        <w:tc>
          <w:tcPr>
            <w:tcW w:w="1483" w:type="dxa"/>
            <w:shd w:val="clear" w:color="auto" w:fill="auto"/>
            <w:noWrap/>
            <w:vAlign w:val="bottom"/>
            <w:hideMark/>
          </w:tcPr>
          <w:p w:rsidR="00B53B14" w:rsidRPr="004B287E" w:rsidRDefault="00B53B14" w:rsidP="007F659E">
            <w:pPr>
              <w:spacing w:after="0" w:line="240" w:lineRule="auto"/>
              <w:jc w:val="right"/>
              <w:rPr>
                <w:rFonts w:ascii="Calibri" w:eastAsia="Times New Roman" w:hAnsi="Calibri" w:cs="Calibri"/>
                <w:b/>
                <w:lang w:eastAsia="tr-TR"/>
              </w:rPr>
            </w:pPr>
            <w:r w:rsidRPr="004B287E">
              <w:rPr>
                <w:rFonts w:ascii="Calibri" w:eastAsia="Times New Roman" w:hAnsi="Calibri" w:cs="Calibri"/>
                <w:b/>
                <w:lang w:eastAsia="tr-TR"/>
              </w:rPr>
              <w:t>11,8</w:t>
            </w:r>
          </w:p>
        </w:tc>
      </w:tr>
    </w:tbl>
    <w:p w:rsidR="004E74C8" w:rsidRPr="004B287E" w:rsidRDefault="004E74C8" w:rsidP="004E74C8">
      <w:pPr>
        <w:rPr>
          <w:b/>
        </w:rPr>
      </w:pPr>
      <w:r w:rsidRPr="004B287E">
        <w:rPr>
          <w:b/>
        </w:rPr>
        <w:t xml:space="preserve">Kaynak: </w:t>
      </w:r>
      <w:r w:rsidRPr="004B287E">
        <w:rPr>
          <w:i/>
          <w:sz w:val="20"/>
          <w:szCs w:val="20"/>
        </w:rPr>
        <w:t xml:space="preserve">SGK 2017 Tablo </w:t>
      </w:r>
      <w:proofErr w:type="gramStart"/>
      <w:r w:rsidRPr="004B287E">
        <w:rPr>
          <w:i/>
          <w:sz w:val="20"/>
          <w:szCs w:val="20"/>
        </w:rPr>
        <w:t>3.2</w:t>
      </w:r>
      <w:proofErr w:type="gramEnd"/>
      <w:r w:rsidRPr="004B287E">
        <w:rPr>
          <w:i/>
          <w:sz w:val="20"/>
          <w:szCs w:val="20"/>
        </w:rPr>
        <w:t xml:space="preserve"> (4.a) ve İşkolları Yönetmeliği'nden yararlanılarak oluşturulmuştur. </w:t>
      </w:r>
      <w:r w:rsidR="00BB6C1D" w:rsidRPr="004B287E">
        <w:rPr>
          <w:i/>
          <w:sz w:val="20"/>
          <w:szCs w:val="20"/>
        </w:rPr>
        <w:t xml:space="preserve">2018 Ocak işkolu sayıları 6356 sayılı Sendikalar ve TİS Kanunu Gereğince yayınlanan 2018 Ocak ayı istatistiklerinden </w:t>
      </w:r>
      <w:r w:rsidR="00B53B14" w:rsidRPr="004B287E">
        <w:rPr>
          <w:i/>
          <w:sz w:val="20"/>
          <w:szCs w:val="20"/>
        </w:rPr>
        <w:t>alınmıştır. Bu veriler 2017 yıl</w:t>
      </w:r>
      <w:r w:rsidR="00BB6C1D" w:rsidRPr="004B287E">
        <w:rPr>
          <w:i/>
          <w:sz w:val="20"/>
          <w:szCs w:val="20"/>
        </w:rPr>
        <w:t>sonu itibariyle işkollarında çalışanların sayısını gösterdiği için küçük sapmalarla 2017 yılı için fikir verebilirler.</w:t>
      </w:r>
    </w:p>
    <w:p w:rsidR="004E74C8" w:rsidRPr="004B287E" w:rsidRDefault="00BB6C1D" w:rsidP="004E74C8">
      <w:pPr>
        <w:rPr>
          <w:i/>
          <w:sz w:val="20"/>
          <w:szCs w:val="20"/>
        </w:rPr>
      </w:pPr>
      <w:r w:rsidRPr="004B287E">
        <w:rPr>
          <w:b/>
          <w:i/>
          <w:sz w:val="20"/>
          <w:szCs w:val="20"/>
        </w:rPr>
        <w:t>*</w:t>
      </w:r>
      <w:r w:rsidR="004E74C8" w:rsidRPr="004B287E">
        <w:rPr>
          <w:i/>
          <w:sz w:val="20"/>
          <w:szCs w:val="20"/>
        </w:rPr>
        <w:t xml:space="preserve">: SGK iş kazası verileri 4'lü NACE kodlarına kadar izlenebilmektedir. İşkolları Yönetmeliği ise bazı faaliyet alanlarını 6'lı sınıflamaya göre vermiştir. Bu tabloda amaç işkollarını yaklaşık olarak sınıflamak olduğu için bazı faaliyet alanlarında ölümlerin tamamı en çok ölüm olayının olduğu işkoluna </w:t>
      </w:r>
      <w:proofErr w:type="gramStart"/>
      <w:r w:rsidR="004E74C8" w:rsidRPr="004B287E">
        <w:rPr>
          <w:i/>
          <w:sz w:val="20"/>
          <w:szCs w:val="20"/>
        </w:rPr>
        <w:t>dahil</w:t>
      </w:r>
      <w:proofErr w:type="gramEnd"/>
      <w:r w:rsidR="004E74C8" w:rsidRPr="004B287E">
        <w:rPr>
          <w:i/>
          <w:sz w:val="20"/>
          <w:szCs w:val="20"/>
        </w:rPr>
        <w:t xml:space="preserve"> edilmiş, ayrıştırmanın mümkün göründüğü alanlarda ise ayrıştırma yapılmıştır. </w:t>
      </w:r>
    </w:p>
    <w:p w:rsidR="00E52945" w:rsidRPr="004B287E" w:rsidRDefault="00E52945">
      <w:pPr>
        <w:rPr>
          <w:b/>
        </w:rPr>
      </w:pPr>
      <w:r w:rsidRPr="004B287E">
        <w:rPr>
          <w:b/>
        </w:rPr>
        <w:br w:type="page"/>
      </w:r>
    </w:p>
    <w:p w:rsidR="00D5332A" w:rsidRPr="004B287E" w:rsidRDefault="00D5332A" w:rsidP="00D65C41">
      <w:pPr>
        <w:pStyle w:val="TabloBal"/>
        <w:rPr>
          <w:color w:val="auto"/>
        </w:rPr>
      </w:pPr>
      <w:bookmarkStart w:id="18" w:name="_Toc536279466"/>
      <w:r w:rsidRPr="004B287E">
        <w:rPr>
          <w:b/>
          <w:color w:val="auto"/>
        </w:rPr>
        <w:lastRenderedPageBreak/>
        <w:t>Tablo-</w:t>
      </w:r>
      <w:r w:rsidR="00D91D3E" w:rsidRPr="004B287E">
        <w:rPr>
          <w:b/>
          <w:color w:val="auto"/>
        </w:rPr>
        <w:t>7</w:t>
      </w:r>
      <w:r w:rsidRPr="004B287E">
        <w:rPr>
          <w:b/>
          <w:color w:val="auto"/>
        </w:rPr>
        <w:t>:</w:t>
      </w:r>
      <w:r w:rsidRPr="004B287E">
        <w:rPr>
          <w:color w:val="auto"/>
        </w:rPr>
        <w:t xml:space="preserve"> İş Kazası Sonucu Ölen İşçilerin İllere Göre Dağılımı, 2017</w:t>
      </w:r>
      <w:bookmarkEnd w:id="18"/>
    </w:p>
    <w:tbl>
      <w:tblPr>
        <w:tblStyle w:val="TabloKlavuzu"/>
        <w:tblpPr w:leftFromText="141" w:rightFromText="141" w:vertAnchor="text" w:tblpXSpec="center" w:tblpY="1"/>
        <w:tblOverlap w:val="never"/>
        <w:tblW w:w="6912" w:type="dxa"/>
        <w:tblLook w:val="04A0"/>
      </w:tblPr>
      <w:tblGrid>
        <w:gridCol w:w="561"/>
        <w:gridCol w:w="1390"/>
        <w:gridCol w:w="1701"/>
        <w:gridCol w:w="1685"/>
        <w:gridCol w:w="1575"/>
      </w:tblGrid>
      <w:tr w:rsidR="00CE4C4B" w:rsidRPr="004B287E" w:rsidTr="00636478">
        <w:tc>
          <w:tcPr>
            <w:tcW w:w="561" w:type="dxa"/>
          </w:tcPr>
          <w:p w:rsidR="007E08DE" w:rsidRPr="004B287E" w:rsidRDefault="00636478" w:rsidP="000134D7">
            <w:pPr>
              <w:jc w:val="center"/>
              <w:rPr>
                <w:b/>
              </w:rPr>
            </w:pPr>
            <w:r w:rsidRPr="004B287E">
              <w:rPr>
                <w:b/>
              </w:rPr>
              <w:t>Sıra</w:t>
            </w:r>
          </w:p>
        </w:tc>
        <w:tc>
          <w:tcPr>
            <w:tcW w:w="1390" w:type="dxa"/>
          </w:tcPr>
          <w:p w:rsidR="007E08DE" w:rsidRPr="004B287E" w:rsidRDefault="007E08DE" w:rsidP="000134D7">
            <w:pPr>
              <w:jc w:val="center"/>
              <w:rPr>
                <w:b/>
              </w:rPr>
            </w:pPr>
            <w:r w:rsidRPr="004B287E">
              <w:rPr>
                <w:b/>
              </w:rPr>
              <w:t>İller</w:t>
            </w:r>
          </w:p>
        </w:tc>
        <w:tc>
          <w:tcPr>
            <w:tcW w:w="1701" w:type="dxa"/>
          </w:tcPr>
          <w:p w:rsidR="007E08DE" w:rsidRPr="004B287E" w:rsidRDefault="007E08DE" w:rsidP="000134D7">
            <w:pPr>
              <w:jc w:val="center"/>
              <w:rPr>
                <w:b/>
              </w:rPr>
            </w:pPr>
            <w:r w:rsidRPr="004B287E">
              <w:rPr>
                <w:b/>
              </w:rPr>
              <w:t>İş kazası sonucu ölen işçi sayısı</w:t>
            </w:r>
          </w:p>
        </w:tc>
        <w:tc>
          <w:tcPr>
            <w:tcW w:w="1685" w:type="dxa"/>
          </w:tcPr>
          <w:p w:rsidR="007E08DE" w:rsidRPr="004B287E" w:rsidRDefault="007E08DE" w:rsidP="000134D7">
            <w:pPr>
              <w:jc w:val="center"/>
              <w:rPr>
                <w:b/>
              </w:rPr>
            </w:pPr>
            <w:r w:rsidRPr="004B287E">
              <w:rPr>
                <w:b/>
              </w:rPr>
              <w:t>İldeki işçi sayısı (4-1/a kapsamı)</w:t>
            </w:r>
          </w:p>
        </w:tc>
        <w:tc>
          <w:tcPr>
            <w:tcW w:w="1575" w:type="dxa"/>
          </w:tcPr>
          <w:p w:rsidR="007E08DE" w:rsidRPr="004B287E" w:rsidRDefault="00FC173F" w:rsidP="00FC173F">
            <w:pPr>
              <w:jc w:val="center"/>
              <w:rPr>
                <w:b/>
              </w:rPr>
            </w:pPr>
            <w:proofErr w:type="spellStart"/>
            <w:r w:rsidRPr="004B287E">
              <w:rPr>
                <w:b/>
              </w:rPr>
              <w:t>Yüzbin</w:t>
            </w:r>
            <w:proofErr w:type="spellEnd"/>
            <w:r w:rsidRPr="004B287E">
              <w:rPr>
                <w:b/>
              </w:rPr>
              <w:t xml:space="preserve"> işçide ö</w:t>
            </w:r>
            <w:r w:rsidR="00E44241" w:rsidRPr="004B287E">
              <w:rPr>
                <w:b/>
              </w:rPr>
              <w:t xml:space="preserve">lüm hızı </w:t>
            </w:r>
          </w:p>
        </w:tc>
      </w:tr>
      <w:tr w:rsidR="00CE4C4B" w:rsidRPr="004B287E" w:rsidTr="00636478">
        <w:tc>
          <w:tcPr>
            <w:tcW w:w="561" w:type="dxa"/>
          </w:tcPr>
          <w:p w:rsidR="00E44241" w:rsidRPr="004B287E" w:rsidRDefault="00E44241" w:rsidP="000134D7">
            <w:r w:rsidRPr="004B287E">
              <w:t>1</w:t>
            </w:r>
          </w:p>
        </w:tc>
        <w:tc>
          <w:tcPr>
            <w:tcW w:w="1390" w:type="dxa"/>
          </w:tcPr>
          <w:p w:rsidR="00E44241" w:rsidRPr="004B287E" w:rsidRDefault="00E44241" w:rsidP="000134D7">
            <w:r w:rsidRPr="004B287E">
              <w:t>İstanbul</w:t>
            </w:r>
          </w:p>
        </w:tc>
        <w:tc>
          <w:tcPr>
            <w:tcW w:w="1701" w:type="dxa"/>
          </w:tcPr>
          <w:p w:rsidR="00E44241" w:rsidRPr="004B287E" w:rsidRDefault="00E44241" w:rsidP="00636478">
            <w:pPr>
              <w:jc w:val="right"/>
            </w:pPr>
            <w:r w:rsidRPr="004B287E">
              <w:t>330</w:t>
            </w:r>
          </w:p>
        </w:tc>
        <w:tc>
          <w:tcPr>
            <w:tcW w:w="1685" w:type="dxa"/>
          </w:tcPr>
          <w:p w:rsidR="00E44241" w:rsidRPr="004B287E" w:rsidRDefault="00E44241" w:rsidP="00636478">
            <w:pPr>
              <w:jc w:val="right"/>
            </w:pPr>
            <w:r w:rsidRPr="004B287E">
              <w:t>4.462.970</w:t>
            </w:r>
          </w:p>
        </w:tc>
        <w:tc>
          <w:tcPr>
            <w:tcW w:w="1575" w:type="dxa"/>
            <w:vAlign w:val="center"/>
          </w:tcPr>
          <w:p w:rsidR="00E44241" w:rsidRPr="004B287E" w:rsidRDefault="00E44241" w:rsidP="00E44241">
            <w:pPr>
              <w:jc w:val="right"/>
            </w:pPr>
            <w:r w:rsidRPr="004B287E">
              <w:t>7,4</w:t>
            </w:r>
          </w:p>
        </w:tc>
      </w:tr>
      <w:tr w:rsidR="00CE4C4B" w:rsidRPr="004B287E" w:rsidTr="00636478">
        <w:tc>
          <w:tcPr>
            <w:tcW w:w="561" w:type="dxa"/>
          </w:tcPr>
          <w:p w:rsidR="00E44241" w:rsidRPr="004B287E" w:rsidRDefault="00E44241" w:rsidP="000134D7">
            <w:r w:rsidRPr="004B287E">
              <w:t>2</w:t>
            </w:r>
          </w:p>
        </w:tc>
        <w:tc>
          <w:tcPr>
            <w:tcW w:w="1390" w:type="dxa"/>
          </w:tcPr>
          <w:p w:rsidR="00E44241" w:rsidRPr="004B287E" w:rsidRDefault="00E44241" w:rsidP="000134D7">
            <w:r w:rsidRPr="004B287E">
              <w:t>Ankara</w:t>
            </w:r>
          </w:p>
        </w:tc>
        <w:tc>
          <w:tcPr>
            <w:tcW w:w="1701" w:type="dxa"/>
          </w:tcPr>
          <w:p w:rsidR="00E44241" w:rsidRPr="004B287E" w:rsidRDefault="00E44241" w:rsidP="00636478">
            <w:pPr>
              <w:jc w:val="right"/>
            </w:pPr>
            <w:r w:rsidRPr="004B287E">
              <w:t>116</w:t>
            </w:r>
          </w:p>
        </w:tc>
        <w:tc>
          <w:tcPr>
            <w:tcW w:w="1685" w:type="dxa"/>
          </w:tcPr>
          <w:p w:rsidR="00E44241" w:rsidRPr="004B287E" w:rsidRDefault="00E44241" w:rsidP="00636478">
            <w:pPr>
              <w:jc w:val="right"/>
            </w:pPr>
            <w:r w:rsidRPr="004B287E">
              <w:t>1.358.882</w:t>
            </w:r>
          </w:p>
        </w:tc>
        <w:tc>
          <w:tcPr>
            <w:tcW w:w="1575" w:type="dxa"/>
            <w:vAlign w:val="center"/>
          </w:tcPr>
          <w:p w:rsidR="00E44241" w:rsidRPr="004B287E" w:rsidRDefault="00E44241" w:rsidP="00E44241">
            <w:pPr>
              <w:jc w:val="right"/>
            </w:pPr>
            <w:r w:rsidRPr="004B287E">
              <w:t>8,5</w:t>
            </w:r>
          </w:p>
        </w:tc>
      </w:tr>
      <w:tr w:rsidR="00CE4C4B" w:rsidRPr="004B287E" w:rsidTr="00636478">
        <w:tc>
          <w:tcPr>
            <w:tcW w:w="561" w:type="dxa"/>
          </w:tcPr>
          <w:p w:rsidR="00E44241" w:rsidRPr="004B287E" w:rsidRDefault="00E44241" w:rsidP="000134D7">
            <w:r w:rsidRPr="004B287E">
              <w:t>3</w:t>
            </w:r>
          </w:p>
        </w:tc>
        <w:tc>
          <w:tcPr>
            <w:tcW w:w="1390" w:type="dxa"/>
          </w:tcPr>
          <w:p w:rsidR="00E44241" w:rsidRPr="004B287E" w:rsidRDefault="00E44241" w:rsidP="000134D7">
            <w:r w:rsidRPr="004B287E">
              <w:t>İzmir</w:t>
            </w:r>
          </w:p>
        </w:tc>
        <w:tc>
          <w:tcPr>
            <w:tcW w:w="1701" w:type="dxa"/>
          </w:tcPr>
          <w:p w:rsidR="00E44241" w:rsidRPr="004B287E" w:rsidRDefault="00E44241" w:rsidP="00636478">
            <w:pPr>
              <w:jc w:val="right"/>
            </w:pPr>
            <w:r w:rsidRPr="004B287E">
              <w:t>95</w:t>
            </w:r>
          </w:p>
        </w:tc>
        <w:tc>
          <w:tcPr>
            <w:tcW w:w="1685" w:type="dxa"/>
          </w:tcPr>
          <w:p w:rsidR="00E44241" w:rsidRPr="004B287E" w:rsidRDefault="00E44241" w:rsidP="00636478">
            <w:pPr>
              <w:jc w:val="right"/>
            </w:pPr>
            <w:r w:rsidRPr="004B287E">
              <w:t>1.008.272</w:t>
            </w:r>
          </w:p>
        </w:tc>
        <w:tc>
          <w:tcPr>
            <w:tcW w:w="1575" w:type="dxa"/>
            <w:vAlign w:val="center"/>
          </w:tcPr>
          <w:p w:rsidR="00E44241" w:rsidRPr="004B287E" w:rsidRDefault="00E44241" w:rsidP="00E44241">
            <w:pPr>
              <w:jc w:val="right"/>
            </w:pPr>
            <w:r w:rsidRPr="004B287E">
              <w:t>9,4</w:t>
            </w:r>
          </w:p>
        </w:tc>
      </w:tr>
      <w:tr w:rsidR="00CE4C4B" w:rsidRPr="004B287E" w:rsidTr="00636478">
        <w:tc>
          <w:tcPr>
            <w:tcW w:w="561" w:type="dxa"/>
          </w:tcPr>
          <w:p w:rsidR="00E44241" w:rsidRPr="004B287E" w:rsidRDefault="00E44241" w:rsidP="000134D7">
            <w:r w:rsidRPr="004B287E">
              <w:t>4</w:t>
            </w:r>
          </w:p>
        </w:tc>
        <w:tc>
          <w:tcPr>
            <w:tcW w:w="1390" w:type="dxa"/>
          </w:tcPr>
          <w:p w:rsidR="00E44241" w:rsidRPr="004B287E" w:rsidRDefault="00E44241" w:rsidP="000134D7">
            <w:r w:rsidRPr="004B287E">
              <w:t>Bursa</w:t>
            </w:r>
          </w:p>
        </w:tc>
        <w:tc>
          <w:tcPr>
            <w:tcW w:w="1701" w:type="dxa"/>
          </w:tcPr>
          <w:p w:rsidR="00E44241" w:rsidRPr="004B287E" w:rsidRDefault="00E44241" w:rsidP="00636478">
            <w:pPr>
              <w:jc w:val="right"/>
            </w:pPr>
            <w:r w:rsidRPr="004B287E">
              <w:t>73</w:t>
            </w:r>
          </w:p>
        </w:tc>
        <w:tc>
          <w:tcPr>
            <w:tcW w:w="1685" w:type="dxa"/>
          </w:tcPr>
          <w:p w:rsidR="00E44241" w:rsidRPr="004B287E" w:rsidRDefault="00E44241" w:rsidP="00636478">
            <w:pPr>
              <w:jc w:val="right"/>
            </w:pPr>
            <w:r w:rsidRPr="004B287E">
              <w:t>767.551</w:t>
            </w:r>
          </w:p>
        </w:tc>
        <w:tc>
          <w:tcPr>
            <w:tcW w:w="1575" w:type="dxa"/>
            <w:vAlign w:val="center"/>
          </w:tcPr>
          <w:p w:rsidR="00E44241" w:rsidRPr="004B287E" w:rsidRDefault="00E44241" w:rsidP="00E44241">
            <w:pPr>
              <w:jc w:val="right"/>
            </w:pPr>
            <w:r w:rsidRPr="004B287E">
              <w:t>9,5</w:t>
            </w:r>
          </w:p>
        </w:tc>
      </w:tr>
      <w:tr w:rsidR="00CE4C4B" w:rsidRPr="004B287E" w:rsidTr="00636478">
        <w:tc>
          <w:tcPr>
            <w:tcW w:w="561" w:type="dxa"/>
          </w:tcPr>
          <w:p w:rsidR="00E44241" w:rsidRPr="004B287E" w:rsidRDefault="00E44241" w:rsidP="000134D7">
            <w:r w:rsidRPr="004B287E">
              <w:t>5</w:t>
            </w:r>
          </w:p>
        </w:tc>
        <w:tc>
          <w:tcPr>
            <w:tcW w:w="1390" w:type="dxa"/>
          </w:tcPr>
          <w:p w:rsidR="00E44241" w:rsidRPr="004B287E" w:rsidRDefault="00E44241" w:rsidP="000134D7">
            <w:r w:rsidRPr="004B287E">
              <w:t xml:space="preserve">Antalya </w:t>
            </w:r>
          </w:p>
        </w:tc>
        <w:tc>
          <w:tcPr>
            <w:tcW w:w="1701" w:type="dxa"/>
          </w:tcPr>
          <w:p w:rsidR="00E44241" w:rsidRPr="004B287E" w:rsidRDefault="00E44241" w:rsidP="00636478">
            <w:pPr>
              <w:jc w:val="right"/>
            </w:pPr>
            <w:r w:rsidRPr="004B287E">
              <w:t>58</w:t>
            </w:r>
          </w:p>
        </w:tc>
        <w:tc>
          <w:tcPr>
            <w:tcW w:w="1685" w:type="dxa"/>
          </w:tcPr>
          <w:p w:rsidR="00E44241" w:rsidRPr="004B287E" w:rsidRDefault="00E44241" w:rsidP="00636478">
            <w:pPr>
              <w:jc w:val="right"/>
            </w:pPr>
            <w:r w:rsidRPr="004B287E">
              <w:t>506.868</w:t>
            </w:r>
          </w:p>
        </w:tc>
        <w:tc>
          <w:tcPr>
            <w:tcW w:w="1575" w:type="dxa"/>
            <w:vAlign w:val="center"/>
          </w:tcPr>
          <w:p w:rsidR="00E44241" w:rsidRPr="004B287E" w:rsidRDefault="00E44241" w:rsidP="00E44241">
            <w:pPr>
              <w:jc w:val="right"/>
            </w:pPr>
            <w:r w:rsidRPr="004B287E">
              <w:t>11,4</w:t>
            </w:r>
          </w:p>
        </w:tc>
      </w:tr>
      <w:tr w:rsidR="00CE4C4B" w:rsidRPr="004B287E" w:rsidTr="00636478">
        <w:tc>
          <w:tcPr>
            <w:tcW w:w="561" w:type="dxa"/>
          </w:tcPr>
          <w:p w:rsidR="00E44241" w:rsidRPr="004B287E" w:rsidRDefault="00E44241" w:rsidP="000134D7">
            <w:r w:rsidRPr="004B287E">
              <w:t>6</w:t>
            </w:r>
          </w:p>
        </w:tc>
        <w:tc>
          <w:tcPr>
            <w:tcW w:w="1390" w:type="dxa"/>
          </w:tcPr>
          <w:p w:rsidR="00E44241" w:rsidRPr="004B287E" w:rsidRDefault="00E44241" w:rsidP="000134D7">
            <w:r w:rsidRPr="004B287E">
              <w:t>Adana</w:t>
            </w:r>
          </w:p>
        </w:tc>
        <w:tc>
          <w:tcPr>
            <w:tcW w:w="1701" w:type="dxa"/>
          </w:tcPr>
          <w:p w:rsidR="00E44241" w:rsidRPr="004B287E" w:rsidRDefault="00E44241" w:rsidP="00636478">
            <w:pPr>
              <w:jc w:val="right"/>
            </w:pPr>
            <w:r w:rsidRPr="004B287E">
              <w:t>55</w:t>
            </w:r>
          </w:p>
        </w:tc>
        <w:tc>
          <w:tcPr>
            <w:tcW w:w="1685" w:type="dxa"/>
          </w:tcPr>
          <w:p w:rsidR="00E44241" w:rsidRPr="004B287E" w:rsidRDefault="00E44241" w:rsidP="00636478">
            <w:pPr>
              <w:jc w:val="right"/>
            </w:pPr>
            <w:r w:rsidRPr="004B287E">
              <w:t>374.778</w:t>
            </w:r>
          </w:p>
        </w:tc>
        <w:tc>
          <w:tcPr>
            <w:tcW w:w="1575" w:type="dxa"/>
            <w:vAlign w:val="center"/>
          </w:tcPr>
          <w:p w:rsidR="00E44241" w:rsidRPr="004B287E" w:rsidRDefault="00E44241" w:rsidP="00E44241">
            <w:pPr>
              <w:jc w:val="right"/>
            </w:pPr>
            <w:r w:rsidRPr="004B287E">
              <w:t>14,7</w:t>
            </w:r>
          </w:p>
        </w:tc>
      </w:tr>
      <w:tr w:rsidR="00CE4C4B" w:rsidRPr="004B287E" w:rsidTr="00636478">
        <w:tc>
          <w:tcPr>
            <w:tcW w:w="561" w:type="dxa"/>
          </w:tcPr>
          <w:p w:rsidR="00E44241" w:rsidRPr="004B287E" w:rsidRDefault="00E44241" w:rsidP="000134D7">
            <w:r w:rsidRPr="004B287E">
              <w:t>7</w:t>
            </w:r>
          </w:p>
        </w:tc>
        <w:tc>
          <w:tcPr>
            <w:tcW w:w="1390" w:type="dxa"/>
          </w:tcPr>
          <w:p w:rsidR="00E44241" w:rsidRPr="004B287E" w:rsidRDefault="00E44241" w:rsidP="000134D7">
            <w:r w:rsidRPr="004B287E">
              <w:t>Mersin</w:t>
            </w:r>
          </w:p>
        </w:tc>
        <w:tc>
          <w:tcPr>
            <w:tcW w:w="1701" w:type="dxa"/>
          </w:tcPr>
          <w:p w:rsidR="00E44241" w:rsidRPr="004B287E" w:rsidRDefault="00E44241" w:rsidP="00636478">
            <w:pPr>
              <w:jc w:val="right"/>
            </w:pPr>
            <w:r w:rsidRPr="004B287E">
              <w:t>48</w:t>
            </w:r>
          </w:p>
        </w:tc>
        <w:tc>
          <w:tcPr>
            <w:tcW w:w="1685" w:type="dxa"/>
          </w:tcPr>
          <w:p w:rsidR="00E44241" w:rsidRPr="004B287E" w:rsidRDefault="00E44241" w:rsidP="00636478">
            <w:pPr>
              <w:jc w:val="right"/>
            </w:pPr>
            <w:r w:rsidRPr="004B287E">
              <w:t>306.001</w:t>
            </w:r>
          </w:p>
        </w:tc>
        <w:tc>
          <w:tcPr>
            <w:tcW w:w="1575" w:type="dxa"/>
            <w:vAlign w:val="center"/>
          </w:tcPr>
          <w:p w:rsidR="00E44241" w:rsidRPr="004B287E" w:rsidRDefault="00E44241" w:rsidP="00E44241">
            <w:pPr>
              <w:jc w:val="right"/>
            </w:pPr>
            <w:r w:rsidRPr="004B287E">
              <w:t>15,7</w:t>
            </w:r>
          </w:p>
        </w:tc>
      </w:tr>
      <w:tr w:rsidR="00CE4C4B" w:rsidRPr="004B287E" w:rsidTr="00636478">
        <w:tc>
          <w:tcPr>
            <w:tcW w:w="561" w:type="dxa"/>
          </w:tcPr>
          <w:p w:rsidR="00E44241" w:rsidRPr="004B287E" w:rsidRDefault="00E44241" w:rsidP="000134D7">
            <w:r w:rsidRPr="004B287E">
              <w:t>8</w:t>
            </w:r>
          </w:p>
        </w:tc>
        <w:tc>
          <w:tcPr>
            <w:tcW w:w="1390" w:type="dxa"/>
          </w:tcPr>
          <w:p w:rsidR="00E44241" w:rsidRPr="004B287E" w:rsidRDefault="00E44241" w:rsidP="000134D7">
            <w:r w:rsidRPr="004B287E">
              <w:t>Kocaeli</w:t>
            </w:r>
          </w:p>
        </w:tc>
        <w:tc>
          <w:tcPr>
            <w:tcW w:w="1701" w:type="dxa"/>
          </w:tcPr>
          <w:p w:rsidR="00E44241" w:rsidRPr="004B287E" w:rsidRDefault="00E44241" w:rsidP="00636478">
            <w:pPr>
              <w:jc w:val="right"/>
            </w:pPr>
            <w:r w:rsidRPr="004B287E">
              <w:t>46</w:t>
            </w:r>
          </w:p>
        </w:tc>
        <w:tc>
          <w:tcPr>
            <w:tcW w:w="1685" w:type="dxa"/>
          </w:tcPr>
          <w:p w:rsidR="00E44241" w:rsidRPr="004B287E" w:rsidRDefault="00E44241" w:rsidP="00636478">
            <w:pPr>
              <w:jc w:val="right"/>
            </w:pPr>
            <w:r w:rsidRPr="004B287E">
              <w:t>546.844</w:t>
            </w:r>
          </w:p>
        </w:tc>
        <w:tc>
          <w:tcPr>
            <w:tcW w:w="1575" w:type="dxa"/>
            <w:vAlign w:val="center"/>
          </w:tcPr>
          <w:p w:rsidR="00E44241" w:rsidRPr="004B287E" w:rsidRDefault="00E44241" w:rsidP="00E44241">
            <w:pPr>
              <w:jc w:val="right"/>
            </w:pPr>
            <w:r w:rsidRPr="004B287E">
              <w:t>8,4</w:t>
            </w:r>
          </w:p>
        </w:tc>
      </w:tr>
      <w:tr w:rsidR="00CE4C4B" w:rsidRPr="004B287E" w:rsidTr="00636478">
        <w:tc>
          <w:tcPr>
            <w:tcW w:w="561" w:type="dxa"/>
          </w:tcPr>
          <w:p w:rsidR="00E44241" w:rsidRPr="004B287E" w:rsidRDefault="00E44241" w:rsidP="000134D7">
            <w:r w:rsidRPr="004B287E">
              <w:t>9</w:t>
            </w:r>
          </w:p>
        </w:tc>
        <w:tc>
          <w:tcPr>
            <w:tcW w:w="1390" w:type="dxa"/>
          </w:tcPr>
          <w:p w:rsidR="00E44241" w:rsidRPr="004B287E" w:rsidRDefault="00E44241" w:rsidP="000134D7">
            <w:r w:rsidRPr="004B287E">
              <w:t>Konya</w:t>
            </w:r>
          </w:p>
        </w:tc>
        <w:tc>
          <w:tcPr>
            <w:tcW w:w="1701" w:type="dxa"/>
          </w:tcPr>
          <w:p w:rsidR="00E44241" w:rsidRPr="004B287E" w:rsidRDefault="00E44241" w:rsidP="00636478">
            <w:pPr>
              <w:jc w:val="right"/>
            </w:pPr>
            <w:r w:rsidRPr="004B287E">
              <w:t>40</w:t>
            </w:r>
          </w:p>
        </w:tc>
        <w:tc>
          <w:tcPr>
            <w:tcW w:w="1685" w:type="dxa"/>
          </w:tcPr>
          <w:p w:rsidR="00E44241" w:rsidRPr="004B287E" w:rsidRDefault="00E44241" w:rsidP="00636478">
            <w:pPr>
              <w:jc w:val="right"/>
            </w:pPr>
            <w:r w:rsidRPr="004B287E">
              <w:t>363.660</w:t>
            </w:r>
          </w:p>
        </w:tc>
        <w:tc>
          <w:tcPr>
            <w:tcW w:w="1575" w:type="dxa"/>
            <w:vAlign w:val="center"/>
          </w:tcPr>
          <w:p w:rsidR="00E44241" w:rsidRPr="004B287E" w:rsidRDefault="00E44241" w:rsidP="00E44241">
            <w:pPr>
              <w:jc w:val="right"/>
            </w:pPr>
            <w:r w:rsidRPr="004B287E">
              <w:t>11,0</w:t>
            </w:r>
          </w:p>
        </w:tc>
      </w:tr>
      <w:tr w:rsidR="00CE4C4B" w:rsidRPr="004B287E" w:rsidTr="00636478">
        <w:tc>
          <w:tcPr>
            <w:tcW w:w="561" w:type="dxa"/>
          </w:tcPr>
          <w:p w:rsidR="00E44241" w:rsidRPr="004B287E" w:rsidRDefault="00E44241" w:rsidP="000134D7">
            <w:r w:rsidRPr="004B287E">
              <w:t>10</w:t>
            </w:r>
          </w:p>
        </w:tc>
        <w:tc>
          <w:tcPr>
            <w:tcW w:w="1390" w:type="dxa"/>
          </w:tcPr>
          <w:p w:rsidR="00E44241" w:rsidRPr="004B287E" w:rsidRDefault="00E44241" w:rsidP="000134D7">
            <w:r w:rsidRPr="004B287E">
              <w:t>Kayseri</w:t>
            </w:r>
          </w:p>
        </w:tc>
        <w:tc>
          <w:tcPr>
            <w:tcW w:w="1701" w:type="dxa"/>
          </w:tcPr>
          <w:p w:rsidR="00E44241" w:rsidRPr="004B287E" w:rsidRDefault="00E44241" w:rsidP="00636478">
            <w:pPr>
              <w:jc w:val="right"/>
            </w:pPr>
            <w:r w:rsidRPr="004B287E">
              <w:t>34</w:t>
            </w:r>
          </w:p>
        </w:tc>
        <w:tc>
          <w:tcPr>
            <w:tcW w:w="1685" w:type="dxa"/>
          </w:tcPr>
          <w:p w:rsidR="00E44241" w:rsidRPr="004B287E" w:rsidRDefault="00E44241" w:rsidP="00636478">
            <w:pPr>
              <w:jc w:val="right"/>
            </w:pPr>
            <w:r w:rsidRPr="004B287E">
              <w:t>248.998</w:t>
            </w:r>
          </w:p>
        </w:tc>
        <w:tc>
          <w:tcPr>
            <w:tcW w:w="1575" w:type="dxa"/>
            <w:vAlign w:val="center"/>
          </w:tcPr>
          <w:p w:rsidR="00E44241" w:rsidRPr="004B287E" w:rsidRDefault="00E44241" w:rsidP="00E44241">
            <w:pPr>
              <w:jc w:val="right"/>
            </w:pPr>
            <w:r w:rsidRPr="004B287E">
              <w:t>13,7</w:t>
            </w:r>
          </w:p>
        </w:tc>
      </w:tr>
      <w:tr w:rsidR="00CE4C4B" w:rsidRPr="004B287E" w:rsidTr="00636478">
        <w:tc>
          <w:tcPr>
            <w:tcW w:w="561" w:type="dxa"/>
          </w:tcPr>
          <w:p w:rsidR="00E44241" w:rsidRPr="004B287E" w:rsidRDefault="00E44241" w:rsidP="000134D7">
            <w:r w:rsidRPr="004B287E">
              <w:t>11</w:t>
            </w:r>
          </w:p>
        </w:tc>
        <w:tc>
          <w:tcPr>
            <w:tcW w:w="1390" w:type="dxa"/>
          </w:tcPr>
          <w:p w:rsidR="00E44241" w:rsidRPr="004B287E" w:rsidRDefault="00E44241" w:rsidP="000134D7">
            <w:r w:rsidRPr="004B287E">
              <w:t>Tekirdağ</w:t>
            </w:r>
          </w:p>
        </w:tc>
        <w:tc>
          <w:tcPr>
            <w:tcW w:w="1701" w:type="dxa"/>
          </w:tcPr>
          <w:p w:rsidR="00E44241" w:rsidRPr="004B287E" w:rsidRDefault="00E44241" w:rsidP="00636478">
            <w:pPr>
              <w:jc w:val="right"/>
            </w:pPr>
            <w:r w:rsidRPr="004B287E">
              <w:t>33</w:t>
            </w:r>
          </w:p>
        </w:tc>
        <w:tc>
          <w:tcPr>
            <w:tcW w:w="1685" w:type="dxa"/>
          </w:tcPr>
          <w:p w:rsidR="00E44241" w:rsidRPr="004B287E" w:rsidRDefault="00E44241" w:rsidP="00636478">
            <w:pPr>
              <w:jc w:val="right"/>
            </w:pPr>
            <w:r w:rsidRPr="004B287E">
              <w:t>290.715</w:t>
            </w:r>
          </w:p>
        </w:tc>
        <w:tc>
          <w:tcPr>
            <w:tcW w:w="1575" w:type="dxa"/>
            <w:vAlign w:val="center"/>
          </w:tcPr>
          <w:p w:rsidR="00E44241" w:rsidRPr="004B287E" w:rsidRDefault="00E44241" w:rsidP="00E44241">
            <w:pPr>
              <w:jc w:val="right"/>
            </w:pPr>
            <w:r w:rsidRPr="004B287E">
              <w:t>11,4</w:t>
            </w:r>
          </w:p>
        </w:tc>
      </w:tr>
      <w:tr w:rsidR="00CE4C4B" w:rsidRPr="004B287E" w:rsidTr="00636478">
        <w:tc>
          <w:tcPr>
            <w:tcW w:w="561" w:type="dxa"/>
          </w:tcPr>
          <w:p w:rsidR="00E44241" w:rsidRPr="004B287E" w:rsidRDefault="00E44241" w:rsidP="000134D7">
            <w:r w:rsidRPr="004B287E">
              <w:t>12</w:t>
            </w:r>
          </w:p>
        </w:tc>
        <w:tc>
          <w:tcPr>
            <w:tcW w:w="1390" w:type="dxa"/>
          </w:tcPr>
          <w:p w:rsidR="00E44241" w:rsidRPr="004B287E" w:rsidRDefault="00E44241" w:rsidP="000134D7">
            <w:r w:rsidRPr="004B287E">
              <w:t>Gaziantep</w:t>
            </w:r>
          </w:p>
        </w:tc>
        <w:tc>
          <w:tcPr>
            <w:tcW w:w="1701" w:type="dxa"/>
          </w:tcPr>
          <w:p w:rsidR="00E44241" w:rsidRPr="004B287E" w:rsidRDefault="00E44241" w:rsidP="00636478">
            <w:pPr>
              <w:jc w:val="right"/>
            </w:pPr>
            <w:r w:rsidRPr="004B287E">
              <w:t>31</w:t>
            </w:r>
          </w:p>
        </w:tc>
        <w:tc>
          <w:tcPr>
            <w:tcW w:w="1685" w:type="dxa"/>
          </w:tcPr>
          <w:p w:rsidR="00E44241" w:rsidRPr="004B287E" w:rsidRDefault="00E44241" w:rsidP="00636478">
            <w:pPr>
              <w:jc w:val="right"/>
            </w:pPr>
            <w:r w:rsidRPr="004B287E">
              <w:t>332.297</w:t>
            </w:r>
          </w:p>
        </w:tc>
        <w:tc>
          <w:tcPr>
            <w:tcW w:w="1575" w:type="dxa"/>
            <w:vAlign w:val="center"/>
          </w:tcPr>
          <w:p w:rsidR="00E44241" w:rsidRPr="004B287E" w:rsidRDefault="00E44241" w:rsidP="00E44241">
            <w:pPr>
              <w:jc w:val="right"/>
            </w:pPr>
            <w:r w:rsidRPr="004B287E">
              <w:t>9,3</w:t>
            </w:r>
          </w:p>
        </w:tc>
      </w:tr>
      <w:tr w:rsidR="00CE4C4B" w:rsidRPr="004B287E" w:rsidTr="00636478">
        <w:tc>
          <w:tcPr>
            <w:tcW w:w="561" w:type="dxa"/>
          </w:tcPr>
          <w:p w:rsidR="00E44241" w:rsidRPr="004B287E" w:rsidRDefault="00E44241" w:rsidP="000134D7">
            <w:r w:rsidRPr="004B287E">
              <w:t>13</w:t>
            </w:r>
          </w:p>
        </w:tc>
        <w:tc>
          <w:tcPr>
            <w:tcW w:w="1390" w:type="dxa"/>
          </w:tcPr>
          <w:p w:rsidR="00E44241" w:rsidRPr="004B287E" w:rsidRDefault="00E44241" w:rsidP="000134D7">
            <w:r w:rsidRPr="004B287E">
              <w:t>Manisa</w:t>
            </w:r>
          </w:p>
        </w:tc>
        <w:tc>
          <w:tcPr>
            <w:tcW w:w="1701" w:type="dxa"/>
          </w:tcPr>
          <w:p w:rsidR="00E44241" w:rsidRPr="004B287E" w:rsidRDefault="00E44241" w:rsidP="00636478">
            <w:pPr>
              <w:jc w:val="right"/>
            </w:pPr>
            <w:r w:rsidRPr="004B287E">
              <w:t>31</w:t>
            </w:r>
          </w:p>
        </w:tc>
        <w:tc>
          <w:tcPr>
            <w:tcW w:w="1685" w:type="dxa"/>
          </w:tcPr>
          <w:p w:rsidR="00E44241" w:rsidRPr="004B287E" w:rsidRDefault="00E44241" w:rsidP="00636478">
            <w:pPr>
              <w:jc w:val="right"/>
            </w:pPr>
            <w:r w:rsidRPr="004B287E">
              <w:t>289.496</w:t>
            </w:r>
          </w:p>
        </w:tc>
        <w:tc>
          <w:tcPr>
            <w:tcW w:w="1575" w:type="dxa"/>
            <w:vAlign w:val="center"/>
          </w:tcPr>
          <w:p w:rsidR="00E44241" w:rsidRPr="004B287E" w:rsidRDefault="00E44241" w:rsidP="00E44241">
            <w:pPr>
              <w:jc w:val="right"/>
            </w:pPr>
            <w:r w:rsidRPr="004B287E">
              <w:t>10,7</w:t>
            </w:r>
          </w:p>
        </w:tc>
      </w:tr>
      <w:tr w:rsidR="00CE4C4B" w:rsidRPr="004B287E" w:rsidTr="00636478">
        <w:tc>
          <w:tcPr>
            <w:tcW w:w="561" w:type="dxa"/>
          </w:tcPr>
          <w:p w:rsidR="00E44241" w:rsidRPr="004B287E" w:rsidRDefault="00E44241" w:rsidP="000134D7">
            <w:r w:rsidRPr="004B287E">
              <w:t>14</w:t>
            </w:r>
          </w:p>
        </w:tc>
        <w:tc>
          <w:tcPr>
            <w:tcW w:w="1390" w:type="dxa"/>
          </w:tcPr>
          <w:p w:rsidR="00E44241" w:rsidRPr="004B287E" w:rsidRDefault="00E44241" w:rsidP="000134D7">
            <w:r w:rsidRPr="004B287E">
              <w:t>Balıkesir</w:t>
            </w:r>
          </w:p>
        </w:tc>
        <w:tc>
          <w:tcPr>
            <w:tcW w:w="1701" w:type="dxa"/>
          </w:tcPr>
          <w:p w:rsidR="00E44241" w:rsidRPr="004B287E" w:rsidRDefault="00E44241" w:rsidP="00636478">
            <w:pPr>
              <w:jc w:val="right"/>
            </w:pPr>
            <w:r w:rsidRPr="004B287E">
              <w:t>28</w:t>
            </w:r>
          </w:p>
        </w:tc>
        <w:tc>
          <w:tcPr>
            <w:tcW w:w="1685" w:type="dxa"/>
          </w:tcPr>
          <w:p w:rsidR="00E44241" w:rsidRPr="004B287E" w:rsidRDefault="00E44241" w:rsidP="00636478">
            <w:pPr>
              <w:jc w:val="right"/>
            </w:pPr>
            <w:r w:rsidRPr="004B287E">
              <w:t>204.295</w:t>
            </w:r>
          </w:p>
        </w:tc>
        <w:tc>
          <w:tcPr>
            <w:tcW w:w="1575" w:type="dxa"/>
            <w:vAlign w:val="center"/>
          </w:tcPr>
          <w:p w:rsidR="00E44241" w:rsidRPr="004B287E" w:rsidRDefault="00E44241" w:rsidP="00E44241">
            <w:pPr>
              <w:jc w:val="right"/>
            </w:pPr>
            <w:r w:rsidRPr="004B287E">
              <w:t>13,7</w:t>
            </w:r>
          </w:p>
        </w:tc>
      </w:tr>
      <w:tr w:rsidR="00CE4C4B" w:rsidRPr="004B287E" w:rsidTr="00636478">
        <w:tc>
          <w:tcPr>
            <w:tcW w:w="561" w:type="dxa"/>
          </w:tcPr>
          <w:p w:rsidR="00E44241" w:rsidRPr="004B287E" w:rsidRDefault="00E44241" w:rsidP="000134D7">
            <w:r w:rsidRPr="004B287E">
              <w:t>15</w:t>
            </w:r>
          </w:p>
        </w:tc>
        <w:tc>
          <w:tcPr>
            <w:tcW w:w="1390" w:type="dxa"/>
          </w:tcPr>
          <w:p w:rsidR="00E44241" w:rsidRPr="004B287E" w:rsidRDefault="00E44241" w:rsidP="000134D7">
            <w:r w:rsidRPr="004B287E">
              <w:t>Hatay</w:t>
            </w:r>
          </w:p>
        </w:tc>
        <w:tc>
          <w:tcPr>
            <w:tcW w:w="1701" w:type="dxa"/>
          </w:tcPr>
          <w:p w:rsidR="00E44241" w:rsidRPr="004B287E" w:rsidRDefault="00E44241" w:rsidP="00636478">
            <w:pPr>
              <w:jc w:val="right"/>
            </w:pPr>
            <w:r w:rsidRPr="004B287E">
              <w:t>27</w:t>
            </w:r>
          </w:p>
        </w:tc>
        <w:tc>
          <w:tcPr>
            <w:tcW w:w="1685" w:type="dxa"/>
          </w:tcPr>
          <w:p w:rsidR="00E44241" w:rsidRPr="004B287E" w:rsidRDefault="00E44241" w:rsidP="00636478">
            <w:pPr>
              <w:jc w:val="right"/>
            </w:pPr>
            <w:r w:rsidRPr="004B287E">
              <w:t>208.949</w:t>
            </w:r>
          </w:p>
        </w:tc>
        <w:tc>
          <w:tcPr>
            <w:tcW w:w="1575" w:type="dxa"/>
            <w:vAlign w:val="center"/>
          </w:tcPr>
          <w:p w:rsidR="00E44241" w:rsidRPr="004B287E" w:rsidRDefault="00E44241" w:rsidP="00E44241">
            <w:pPr>
              <w:jc w:val="right"/>
            </w:pPr>
            <w:r w:rsidRPr="004B287E">
              <w:t>12,9</w:t>
            </w:r>
          </w:p>
        </w:tc>
      </w:tr>
      <w:tr w:rsidR="00CE4C4B" w:rsidRPr="004B287E" w:rsidTr="00636478">
        <w:tc>
          <w:tcPr>
            <w:tcW w:w="1951" w:type="dxa"/>
            <w:gridSpan w:val="2"/>
          </w:tcPr>
          <w:p w:rsidR="00E44241" w:rsidRPr="004B287E" w:rsidRDefault="00E44241" w:rsidP="00E44241">
            <w:pPr>
              <w:jc w:val="center"/>
              <w:rPr>
                <w:b/>
              </w:rPr>
            </w:pPr>
            <w:r w:rsidRPr="004B287E">
              <w:rPr>
                <w:b/>
              </w:rPr>
              <w:t>15 Şehir</w:t>
            </w:r>
          </w:p>
        </w:tc>
        <w:tc>
          <w:tcPr>
            <w:tcW w:w="1701" w:type="dxa"/>
          </w:tcPr>
          <w:p w:rsidR="00E44241" w:rsidRPr="004B287E" w:rsidRDefault="00E44241" w:rsidP="00636478">
            <w:pPr>
              <w:jc w:val="right"/>
              <w:rPr>
                <w:b/>
              </w:rPr>
            </w:pPr>
            <w:r w:rsidRPr="004B287E">
              <w:rPr>
                <w:b/>
              </w:rPr>
              <w:t>1.045</w:t>
            </w:r>
          </w:p>
        </w:tc>
        <w:tc>
          <w:tcPr>
            <w:tcW w:w="1685" w:type="dxa"/>
            <w:vAlign w:val="center"/>
          </w:tcPr>
          <w:p w:rsidR="00E44241" w:rsidRPr="004B287E" w:rsidRDefault="00E44241" w:rsidP="00636478">
            <w:pPr>
              <w:jc w:val="right"/>
              <w:rPr>
                <w:b/>
              </w:rPr>
            </w:pPr>
            <w:r w:rsidRPr="004B287E">
              <w:rPr>
                <w:b/>
              </w:rPr>
              <w:t>11.270.576</w:t>
            </w:r>
          </w:p>
        </w:tc>
        <w:tc>
          <w:tcPr>
            <w:tcW w:w="1575" w:type="dxa"/>
            <w:vAlign w:val="center"/>
          </w:tcPr>
          <w:p w:rsidR="00E44241" w:rsidRPr="004B287E" w:rsidRDefault="00E44241" w:rsidP="00E44241">
            <w:pPr>
              <w:jc w:val="right"/>
              <w:rPr>
                <w:b/>
              </w:rPr>
            </w:pPr>
            <w:r w:rsidRPr="004B287E">
              <w:rPr>
                <w:b/>
              </w:rPr>
              <w:t>9,3</w:t>
            </w:r>
          </w:p>
        </w:tc>
      </w:tr>
      <w:tr w:rsidR="00CE4C4B" w:rsidRPr="004B287E" w:rsidTr="00636478">
        <w:tc>
          <w:tcPr>
            <w:tcW w:w="1951" w:type="dxa"/>
            <w:gridSpan w:val="2"/>
          </w:tcPr>
          <w:p w:rsidR="00E44241" w:rsidRPr="004B287E" w:rsidRDefault="00E44241" w:rsidP="00E44241">
            <w:pPr>
              <w:jc w:val="center"/>
              <w:rPr>
                <w:b/>
              </w:rPr>
            </w:pPr>
            <w:r w:rsidRPr="004B287E">
              <w:rPr>
                <w:b/>
              </w:rPr>
              <w:t>Diğer</w:t>
            </w:r>
          </w:p>
        </w:tc>
        <w:tc>
          <w:tcPr>
            <w:tcW w:w="1701" w:type="dxa"/>
          </w:tcPr>
          <w:p w:rsidR="00E44241" w:rsidRPr="004B287E" w:rsidRDefault="00E44241" w:rsidP="00636478">
            <w:pPr>
              <w:jc w:val="right"/>
              <w:rPr>
                <w:b/>
              </w:rPr>
            </w:pPr>
            <w:r w:rsidRPr="004B287E">
              <w:rPr>
                <w:b/>
              </w:rPr>
              <w:t>588</w:t>
            </w:r>
          </w:p>
        </w:tc>
        <w:tc>
          <w:tcPr>
            <w:tcW w:w="1685" w:type="dxa"/>
            <w:vAlign w:val="center"/>
          </w:tcPr>
          <w:p w:rsidR="00E44241" w:rsidRPr="004B287E" w:rsidRDefault="00E44241" w:rsidP="00636478">
            <w:pPr>
              <w:jc w:val="right"/>
              <w:rPr>
                <w:b/>
              </w:rPr>
            </w:pPr>
            <w:r w:rsidRPr="004B287E">
              <w:rPr>
                <w:b/>
              </w:rPr>
              <w:t>5.098.497</w:t>
            </w:r>
          </w:p>
        </w:tc>
        <w:tc>
          <w:tcPr>
            <w:tcW w:w="1575" w:type="dxa"/>
            <w:vAlign w:val="center"/>
          </w:tcPr>
          <w:p w:rsidR="00E44241" w:rsidRPr="004B287E" w:rsidRDefault="00E44241" w:rsidP="00E44241">
            <w:pPr>
              <w:jc w:val="right"/>
              <w:rPr>
                <w:b/>
              </w:rPr>
            </w:pPr>
            <w:r w:rsidRPr="004B287E">
              <w:rPr>
                <w:b/>
              </w:rPr>
              <w:t>11,5</w:t>
            </w:r>
          </w:p>
        </w:tc>
      </w:tr>
      <w:tr w:rsidR="00CE4C4B" w:rsidRPr="004B287E" w:rsidTr="00636478">
        <w:tc>
          <w:tcPr>
            <w:tcW w:w="1951" w:type="dxa"/>
            <w:gridSpan w:val="2"/>
          </w:tcPr>
          <w:p w:rsidR="00E44241" w:rsidRPr="004B287E" w:rsidRDefault="00E44241" w:rsidP="00E44241">
            <w:pPr>
              <w:jc w:val="center"/>
              <w:rPr>
                <w:b/>
              </w:rPr>
            </w:pPr>
            <w:r w:rsidRPr="004B287E">
              <w:rPr>
                <w:b/>
              </w:rPr>
              <w:t>TOPLAM</w:t>
            </w:r>
          </w:p>
        </w:tc>
        <w:tc>
          <w:tcPr>
            <w:tcW w:w="1701" w:type="dxa"/>
          </w:tcPr>
          <w:p w:rsidR="00E44241" w:rsidRPr="004B287E" w:rsidRDefault="00E44241" w:rsidP="00636478">
            <w:pPr>
              <w:jc w:val="right"/>
              <w:rPr>
                <w:b/>
              </w:rPr>
            </w:pPr>
            <w:r w:rsidRPr="004B287E">
              <w:rPr>
                <w:b/>
              </w:rPr>
              <w:t>1.633</w:t>
            </w:r>
          </w:p>
        </w:tc>
        <w:tc>
          <w:tcPr>
            <w:tcW w:w="1685" w:type="dxa"/>
            <w:vAlign w:val="center"/>
          </w:tcPr>
          <w:p w:rsidR="00E44241" w:rsidRPr="004B287E" w:rsidRDefault="00E44241" w:rsidP="00636478">
            <w:pPr>
              <w:jc w:val="right"/>
              <w:rPr>
                <w:b/>
              </w:rPr>
            </w:pPr>
            <w:r w:rsidRPr="004B287E">
              <w:rPr>
                <w:b/>
              </w:rPr>
              <w:t>16.369.073</w:t>
            </w:r>
          </w:p>
        </w:tc>
        <w:tc>
          <w:tcPr>
            <w:tcW w:w="1575" w:type="dxa"/>
            <w:vAlign w:val="center"/>
          </w:tcPr>
          <w:p w:rsidR="00E44241" w:rsidRPr="004B287E" w:rsidRDefault="00E44241" w:rsidP="00E44241">
            <w:pPr>
              <w:jc w:val="right"/>
              <w:rPr>
                <w:b/>
              </w:rPr>
            </w:pPr>
            <w:r w:rsidRPr="004B287E">
              <w:rPr>
                <w:b/>
              </w:rPr>
              <w:t>10,0</w:t>
            </w:r>
          </w:p>
        </w:tc>
      </w:tr>
    </w:tbl>
    <w:p w:rsidR="00D5332A" w:rsidRPr="004B287E" w:rsidRDefault="00D5332A" w:rsidP="00AE750A">
      <w:pPr>
        <w:tabs>
          <w:tab w:val="left" w:pos="7540"/>
        </w:tabs>
        <w:jc w:val="center"/>
        <w:rPr>
          <w:i/>
        </w:rPr>
      </w:pPr>
      <w:r w:rsidRPr="004B287E">
        <w:rPr>
          <w:i/>
        </w:rPr>
        <w:br w:type="textWrapping" w:clear="all"/>
      </w:r>
      <w:r w:rsidRPr="004B287E">
        <w:rPr>
          <w:b/>
          <w:i/>
        </w:rPr>
        <w:t>Kaynak</w:t>
      </w:r>
      <w:r w:rsidRPr="004B287E">
        <w:rPr>
          <w:i/>
        </w:rPr>
        <w:t xml:space="preserve">: SGK 2017 Tablo </w:t>
      </w:r>
      <w:proofErr w:type="gramStart"/>
      <w:r w:rsidRPr="004B287E">
        <w:rPr>
          <w:i/>
        </w:rPr>
        <w:t>3.6</w:t>
      </w:r>
      <w:proofErr w:type="gramEnd"/>
      <w:r w:rsidRPr="004B287E">
        <w:rPr>
          <w:i/>
        </w:rPr>
        <w:t xml:space="preserve"> (4a)</w:t>
      </w:r>
      <w:r w:rsidR="00636478" w:rsidRPr="004B287E">
        <w:rPr>
          <w:i/>
        </w:rPr>
        <w:t xml:space="preserve"> ve Tablo 1.7'den yararlanılmıştır.</w:t>
      </w:r>
    </w:p>
    <w:p w:rsidR="007B7648" w:rsidRPr="004B287E" w:rsidRDefault="007B7648" w:rsidP="007B7648">
      <w:pPr>
        <w:ind w:firstLine="567"/>
        <w:jc w:val="both"/>
      </w:pPr>
      <w:r w:rsidRPr="004B287E">
        <w:t xml:space="preserve">Tablo-7'de iş kazası sonucu ölen işçilerin illere göre dağılımı sunulmaktadır. Nüfus ve sanayi yoğunluğu açısından bekleneceği gibi İstanbul, Ankara, İzmir ilk üç sırada bulunmaktadırlar. Tüm ölümlü iş kazalarının %20'si İstanbul'da, %7'si Ankara'da, %6'sı İzmir'de olmuştur. İllerdeki işçi sayısıyla oranlandığında ise sıralamada değişiklik olmaktadır (Grafik-2). En çok ölüm olayının olduğu 15 il içinde </w:t>
      </w:r>
      <w:proofErr w:type="spellStart"/>
      <w:r w:rsidRPr="004B287E">
        <w:t>yüzbin</w:t>
      </w:r>
      <w:proofErr w:type="spellEnd"/>
      <w:r w:rsidRPr="004B287E">
        <w:t xml:space="preserve"> işçide en yüksek ölüm hızları Mersin, Adana, Balıkesir ve Kayseri'dedir. Aynı grupta en düşük ölüm hızları ise İstanbul, Kocaeli ve Ankara'dadır. </w:t>
      </w:r>
    </w:p>
    <w:p w:rsidR="0093218C" w:rsidRPr="004B287E" w:rsidRDefault="0093218C" w:rsidP="0093218C">
      <w:pPr>
        <w:pStyle w:val="TabloBal"/>
        <w:rPr>
          <w:color w:val="auto"/>
        </w:rPr>
      </w:pPr>
      <w:bookmarkStart w:id="19" w:name="_Toc536279467"/>
      <w:r w:rsidRPr="004B287E">
        <w:rPr>
          <w:b/>
          <w:color w:val="auto"/>
        </w:rPr>
        <w:t>Grafik-</w:t>
      </w:r>
      <w:r w:rsidR="00D91D3E" w:rsidRPr="004B287E">
        <w:rPr>
          <w:b/>
          <w:color w:val="auto"/>
        </w:rPr>
        <w:t>2</w:t>
      </w:r>
      <w:r w:rsidRPr="004B287E">
        <w:rPr>
          <w:b/>
          <w:color w:val="auto"/>
        </w:rPr>
        <w:t>:</w:t>
      </w:r>
      <w:r w:rsidRPr="004B287E">
        <w:rPr>
          <w:color w:val="auto"/>
        </w:rPr>
        <w:t xml:space="preserve"> En çok ölüm olan illerde ölüm hızları, </w:t>
      </w:r>
      <w:proofErr w:type="spellStart"/>
      <w:r w:rsidRPr="004B287E">
        <w:rPr>
          <w:color w:val="auto"/>
        </w:rPr>
        <w:t>yüzbin</w:t>
      </w:r>
      <w:proofErr w:type="spellEnd"/>
      <w:r w:rsidRPr="004B287E">
        <w:rPr>
          <w:color w:val="auto"/>
        </w:rPr>
        <w:t xml:space="preserve"> işçide, 2017</w:t>
      </w:r>
      <w:bookmarkEnd w:id="19"/>
    </w:p>
    <w:p w:rsidR="0093218C" w:rsidRPr="004B287E" w:rsidRDefault="0093218C" w:rsidP="00B231CE">
      <w:pPr>
        <w:spacing w:after="120" w:line="240" w:lineRule="auto"/>
        <w:jc w:val="center"/>
      </w:pPr>
      <w:r w:rsidRPr="004B287E">
        <w:rPr>
          <w:noProof/>
          <w:lang w:eastAsia="tr-TR"/>
        </w:rPr>
        <w:drawing>
          <wp:inline distT="0" distB="0" distL="0" distR="0">
            <wp:extent cx="5262114" cy="2829464"/>
            <wp:effectExtent l="0" t="0" r="1524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218C" w:rsidRPr="004B287E" w:rsidRDefault="0093218C" w:rsidP="00B231CE">
      <w:pPr>
        <w:tabs>
          <w:tab w:val="left" w:pos="7540"/>
        </w:tabs>
        <w:jc w:val="center"/>
        <w:rPr>
          <w:i/>
        </w:rPr>
      </w:pPr>
      <w:r w:rsidRPr="004B287E">
        <w:rPr>
          <w:b/>
          <w:i/>
        </w:rPr>
        <w:t>Kaynak</w:t>
      </w:r>
      <w:r w:rsidRPr="004B287E">
        <w:rPr>
          <w:i/>
        </w:rPr>
        <w:t>: Tablo-</w:t>
      </w:r>
      <w:r w:rsidR="00D91D3E" w:rsidRPr="004B287E">
        <w:rPr>
          <w:i/>
        </w:rPr>
        <w:t>7</w:t>
      </w:r>
      <w:r w:rsidRPr="004B287E">
        <w:rPr>
          <w:i/>
        </w:rPr>
        <w:t>'</w:t>
      </w:r>
      <w:r w:rsidR="00D91D3E" w:rsidRPr="004B287E">
        <w:rPr>
          <w:i/>
        </w:rPr>
        <w:t>d</w:t>
      </w:r>
      <w:r w:rsidRPr="004B287E">
        <w:rPr>
          <w:i/>
        </w:rPr>
        <w:t>en üretilmiştir.</w:t>
      </w:r>
    </w:p>
    <w:p w:rsidR="00E14D18" w:rsidRPr="00A91BD3" w:rsidRDefault="00E14D18" w:rsidP="007104AF">
      <w:pPr>
        <w:ind w:firstLine="567"/>
        <w:jc w:val="both"/>
      </w:pPr>
      <w:r w:rsidRPr="00A91BD3">
        <w:lastRenderedPageBreak/>
        <w:t>Kamuoyu tarafından iş kazaları ve meslek hastalıklarına ilişkin olarak en çok dikkat çeken veri</w:t>
      </w:r>
      <w:r w:rsidR="00D91D3E" w:rsidRPr="00A91BD3">
        <w:t>, bu</w:t>
      </w:r>
      <w:r w:rsidRPr="00A91BD3">
        <w:t xml:space="preserve"> </w:t>
      </w:r>
      <w:r w:rsidR="00FC173F" w:rsidRPr="00A91BD3">
        <w:t xml:space="preserve">raporun önceki bölümlerinde aktarılan, </w:t>
      </w:r>
      <w:r w:rsidRPr="00A91BD3">
        <w:t xml:space="preserve">iş kazası ve meslek hastalıklarında ölüm sayılarını içeren tablolar olmakta ve </w:t>
      </w:r>
      <w:r w:rsidR="00FC173F" w:rsidRPr="00A91BD3">
        <w:t xml:space="preserve">yorumlar </w:t>
      </w:r>
      <w:r w:rsidRPr="00A91BD3">
        <w:t xml:space="preserve">bu tablolar üzerinden yapılmaktadır. Ancak söz konusu istatistiklerde yapılan daha </w:t>
      </w:r>
      <w:r w:rsidR="00FC173F" w:rsidRPr="00A91BD3">
        <w:t>ayrıntılı</w:t>
      </w:r>
      <w:r w:rsidRPr="00A91BD3">
        <w:t xml:space="preserve"> bir inceleme, üstü örtülen bazı verilerin </w:t>
      </w:r>
      <w:r w:rsidR="00F55F30" w:rsidRPr="00A91BD3">
        <w:t xml:space="preserve">olduğu izlenimini vermektedir. </w:t>
      </w:r>
      <w:r w:rsidRPr="00A91BD3">
        <w:t xml:space="preserve"> </w:t>
      </w:r>
    </w:p>
    <w:p w:rsidR="00B231CE" w:rsidRPr="004B287E" w:rsidRDefault="00661427" w:rsidP="007104AF">
      <w:pPr>
        <w:ind w:firstLine="567"/>
        <w:jc w:val="both"/>
      </w:pPr>
      <w:r w:rsidRPr="004B287E">
        <w:t xml:space="preserve">Aziz Çelik </w:t>
      </w:r>
      <w:r w:rsidR="0051521C" w:rsidRPr="004B287E">
        <w:t>(</w:t>
      </w:r>
      <w:r w:rsidR="006E3FE3" w:rsidRPr="004B287E">
        <w:t xml:space="preserve">2015) </w:t>
      </w:r>
      <w:r w:rsidRPr="004B287E">
        <w:t>2005-2013 dönemi için yaptığı hesaplamada SGK verilerinde iş kazası ve meslek hastalığı sonucu ölüm sayısının 9 yılda toplam 11.047 olarak yayınlanmasına karşın aynı nedenlerle ölüm geliri bağlanan dosya sayısının 20.799 olduğunu hesaplam</w:t>
      </w:r>
      <w:r w:rsidR="006E3FE3" w:rsidRPr="004B287E">
        <w:t>ış</w:t>
      </w:r>
      <w:r w:rsidRPr="004B287E">
        <w:t xml:space="preserve">tır. </w:t>
      </w:r>
      <w:r w:rsidR="006E3FE3" w:rsidRPr="004B287E">
        <w:t>Benzer bir hesaplamayı</w:t>
      </w:r>
      <w:r w:rsidR="001555CD" w:rsidRPr="004B287E">
        <w:t xml:space="preserve"> </w:t>
      </w:r>
      <w:r w:rsidR="006E3FE3" w:rsidRPr="004B287E">
        <w:t>biz de</w:t>
      </w:r>
      <w:r w:rsidR="001555CD" w:rsidRPr="004B287E">
        <w:t>,</w:t>
      </w:r>
      <w:r w:rsidR="006E3FE3" w:rsidRPr="004B287E">
        <w:t xml:space="preserve"> 20</w:t>
      </w:r>
      <w:r w:rsidR="00E23AA0" w:rsidRPr="004B287E">
        <w:t>0</w:t>
      </w:r>
      <w:r w:rsidR="00D458A5" w:rsidRPr="004B287E">
        <w:t>4</w:t>
      </w:r>
      <w:r w:rsidR="006E3FE3" w:rsidRPr="004B287E">
        <w:t>-2017 dönemi için gerçekleştirdik</w:t>
      </w:r>
      <w:r w:rsidR="009A50D8" w:rsidRPr="004B287E">
        <w:t xml:space="preserve"> (Tablo-</w:t>
      </w:r>
      <w:r w:rsidR="00D91D3E" w:rsidRPr="004B287E">
        <w:t>8</w:t>
      </w:r>
      <w:r w:rsidR="009A50D8" w:rsidRPr="004B287E">
        <w:t>)</w:t>
      </w:r>
      <w:r w:rsidR="006E3FE3" w:rsidRPr="004B287E">
        <w:t xml:space="preserve">. </w:t>
      </w:r>
    </w:p>
    <w:p w:rsidR="001555CD" w:rsidRPr="004B287E" w:rsidRDefault="001555CD" w:rsidP="00C54F58">
      <w:pPr>
        <w:pStyle w:val="TabloBal"/>
        <w:rPr>
          <w:color w:val="auto"/>
        </w:rPr>
      </w:pPr>
      <w:bookmarkStart w:id="20" w:name="_Toc536279468"/>
      <w:r w:rsidRPr="004B287E">
        <w:rPr>
          <w:b/>
          <w:color w:val="auto"/>
        </w:rPr>
        <w:t>Tablo-8:</w:t>
      </w:r>
      <w:r w:rsidR="00E23AA0" w:rsidRPr="004B287E">
        <w:rPr>
          <w:color w:val="auto"/>
        </w:rPr>
        <w:t xml:space="preserve"> İş Kazası ve Meslek Hastalığı Sonucu Ölümler ve Ölüm Geliri Bağlanan Dosya Sayısı; 2004-2017</w:t>
      </w:r>
      <w:bookmarkEnd w:id="20"/>
    </w:p>
    <w:tbl>
      <w:tblPr>
        <w:tblW w:w="6338" w:type="dxa"/>
        <w:jc w:val="center"/>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003"/>
        <w:gridCol w:w="2044"/>
        <w:gridCol w:w="2192"/>
        <w:gridCol w:w="1142"/>
      </w:tblGrid>
      <w:tr w:rsidR="004B287E" w:rsidRPr="004B287E" w:rsidTr="002031D8">
        <w:trPr>
          <w:trHeight w:val="1215"/>
          <w:jc w:val="center"/>
        </w:trPr>
        <w:tc>
          <w:tcPr>
            <w:tcW w:w="960" w:type="dxa"/>
            <w:shd w:val="clear" w:color="auto" w:fill="auto"/>
            <w:vAlign w:val="center"/>
            <w:hideMark/>
          </w:tcPr>
          <w:p w:rsidR="002031D8" w:rsidRPr="002031D8" w:rsidRDefault="002031D8" w:rsidP="002031D8">
            <w:pPr>
              <w:spacing w:after="0" w:line="240" w:lineRule="auto"/>
              <w:rPr>
                <w:rFonts w:eastAsia="Times New Roman" w:cstheme="minorHAnsi"/>
                <w:b/>
                <w:bCs/>
                <w:lang w:eastAsia="tr-TR"/>
              </w:rPr>
            </w:pPr>
            <w:r w:rsidRPr="002031D8">
              <w:rPr>
                <w:rFonts w:eastAsia="Times New Roman" w:cstheme="minorHAnsi"/>
                <w:b/>
                <w:bCs/>
                <w:lang w:eastAsia="tr-TR"/>
              </w:rPr>
              <w:t>Yıllar</w:t>
            </w:r>
          </w:p>
        </w:tc>
        <w:tc>
          <w:tcPr>
            <w:tcW w:w="2044" w:type="dxa"/>
            <w:shd w:val="clear" w:color="auto" w:fill="auto"/>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(I)</w:t>
            </w:r>
            <w:r w:rsidRPr="002031D8">
              <w:rPr>
                <w:rFonts w:eastAsia="Times New Roman" w:cstheme="minorHAnsi"/>
                <w:b/>
                <w:bCs/>
                <w:lang w:eastAsia="tr-TR"/>
              </w:rPr>
              <w:br/>
              <w:t>İK ve MH Sonucu Ölüm Sayısı</w:t>
            </w:r>
          </w:p>
        </w:tc>
        <w:tc>
          <w:tcPr>
            <w:tcW w:w="2192" w:type="dxa"/>
            <w:shd w:val="clear" w:color="auto" w:fill="auto"/>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(II)</w:t>
            </w:r>
            <w:r w:rsidRPr="002031D8">
              <w:rPr>
                <w:rFonts w:eastAsia="Times New Roman" w:cstheme="minorHAnsi"/>
                <w:b/>
                <w:bCs/>
                <w:lang w:eastAsia="tr-TR"/>
              </w:rPr>
              <w:br/>
            </w:r>
            <w:r w:rsidRPr="004B287E">
              <w:rPr>
                <w:rFonts w:eastAsia="Times New Roman" w:cstheme="minorHAnsi"/>
                <w:b/>
                <w:bCs/>
                <w:lang w:eastAsia="tr-TR"/>
              </w:rPr>
              <w:t>İK ve MH</w:t>
            </w:r>
            <w:r w:rsidRPr="002031D8">
              <w:rPr>
                <w:rFonts w:eastAsia="Times New Roman" w:cstheme="minorHAnsi"/>
                <w:b/>
                <w:bCs/>
                <w:lang w:eastAsia="tr-TR"/>
              </w:rPr>
              <w:t xml:space="preserve"> Sonucu Ölüm Geliri Bağlanan Dosya Sayısı</w:t>
            </w:r>
          </w:p>
        </w:tc>
        <w:tc>
          <w:tcPr>
            <w:tcW w:w="1142" w:type="dxa"/>
            <w:shd w:val="clear" w:color="auto" w:fill="auto"/>
            <w:noWrap/>
            <w:vAlign w:val="center"/>
            <w:hideMark/>
          </w:tcPr>
          <w:p w:rsidR="002031D8" w:rsidRPr="004B287E" w:rsidRDefault="002031D8" w:rsidP="002031D8">
            <w:pPr>
              <w:spacing w:after="0" w:line="240" w:lineRule="auto"/>
              <w:jc w:val="center"/>
              <w:rPr>
                <w:rFonts w:eastAsia="Times New Roman" w:cstheme="minorHAnsi"/>
                <w:b/>
                <w:lang w:eastAsia="tr-TR"/>
              </w:rPr>
            </w:pPr>
            <w:r w:rsidRPr="002031D8">
              <w:rPr>
                <w:rFonts w:eastAsia="Times New Roman" w:cstheme="minorHAnsi"/>
                <w:b/>
                <w:lang w:eastAsia="tr-TR"/>
              </w:rPr>
              <w:t>II/I</w:t>
            </w:r>
          </w:p>
          <w:p w:rsidR="002031D8" w:rsidRPr="002031D8" w:rsidRDefault="002031D8" w:rsidP="002031D8">
            <w:pPr>
              <w:spacing w:after="0" w:line="240" w:lineRule="auto"/>
              <w:jc w:val="center"/>
              <w:rPr>
                <w:rFonts w:eastAsia="Times New Roman" w:cstheme="minorHAnsi"/>
                <w:lang w:eastAsia="tr-TR"/>
              </w:rPr>
            </w:pPr>
            <w:r w:rsidRPr="004B287E">
              <w:rPr>
                <w:rFonts w:eastAsia="Times New Roman" w:cstheme="minorHAnsi"/>
                <w:b/>
                <w:lang w:eastAsia="tr-TR"/>
              </w:rPr>
              <w:t>Oran</w:t>
            </w:r>
          </w:p>
        </w:tc>
      </w:tr>
      <w:tr w:rsidR="00E23AA0" w:rsidRPr="004B287E" w:rsidTr="002031D8">
        <w:trPr>
          <w:trHeight w:val="315"/>
          <w:jc w:val="center"/>
        </w:trPr>
        <w:tc>
          <w:tcPr>
            <w:tcW w:w="960" w:type="dxa"/>
            <w:shd w:val="clear" w:color="auto" w:fill="auto"/>
            <w:noWrap/>
            <w:vAlign w:val="center"/>
          </w:tcPr>
          <w:p w:rsidR="00E23AA0" w:rsidRPr="004B287E" w:rsidRDefault="00E23AA0" w:rsidP="002031D8">
            <w:pPr>
              <w:spacing w:after="0" w:line="240" w:lineRule="auto"/>
              <w:jc w:val="center"/>
              <w:rPr>
                <w:rFonts w:eastAsia="Times New Roman" w:cstheme="minorHAnsi"/>
                <w:b/>
                <w:bCs/>
                <w:lang w:eastAsia="tr-TR"/>
              </w:rPr>
            </w:pPr>
            <w:r w:rsidRPr="004B287E">
              <w:rPr>
                <w:rFonts w:eastAsia="Times New Roman" w:cstheme="minorHAnsi"/>
                <w:b/>
                <w:bCs/>
                <w:lang w:eastAsia="tr-TR"/>
              </w:rPr>
              <w:t>2004</w:t>
            </w:r>
          </w:p>
        </w:tc>
        <w:tc>
          <w:tcPr>
            <w:tcW w:w="2044" w:type="dxa"/>
            <w:shd w:val="clear" w:color="auto" w:fill="auto"/>
            <w:noWrap/>
            <w:vAlign w:val="center"/>
          </w:tcPr>
          <w:p w:rsidR="00E23AA0" w:rsidRPr="004B287E" w:rsidRDefault="00E23AA0" w:rsidP="002031D8">
            <w:pPr>
              <w:spacing w:after="0" w:line="240" w:lineRule="auto"/>
              <w:jc w:val="right"/>
              <w:rPr>
                <w:rFonts w:eastAsia="Times New Roman" w:cstheme="minorHAnsi"/>
                <w:lang w:eastAsia="tr-TR"/>
              </w:rPr>
            </w:pPr>
            <w:r w:rsidRPr="004B287E">
              <w:rPr>
                <w:rFonts w:eastAsia="Times New Roman" w:cstheme="minorHAnsi"/>
                <w:lang w:eastAsia="tr-TR"/>
              </w:rPr>
              <w:t>843</w:t>
            </w:r>
          </w:p>
        </w:tc>
        <w:tc>
          <w:tcPr>
            <w:tcW w:w="2192" w:type="dxa"/>
            <w:shd w:val="clear" w:color="auto" w:fill="auto"/>
            <w:noWrap/>
            <w:vAlign w:val="center"/>
          </w:tcPr>
          <w:p w:rsidR="00E23AA0" w:rsidRPr="004B287E" w:rsidRDefault="00E23AA0" w:rsidP="002031D8">
            <w:pPr>
              <w:spacing w:after="0" w:line="240" w:lineRule="auto"/>
              <w:jc w:val="right"/>
              <w:rPr>
                <w:rFonts w:eastAsia="Times New Roman" w:cstheme="minorHAnsi"/>
                <w:lang w:eastAsia="tr-TR"/>
              </w:rPr>
            </w:pPr>
            <w:r w:rsidRPr="004B287E">
              <w:rPr>
                <w:rFonts w:eastAsia="Times New Roman" w:cstheme="minorHAnsi"/>
                <w:lang w:eastAsia="tr-TR"/>
              </w:rPr>
              <w:t>1.505</w:t>
            </w:r>
          </w:p>
        </w:tc>
        <w:tc>
          <w:tcPr>
            <w:tcW w:w="1142" w:type="dxa"/>
            <w:shd w:val="clear" w:color="auto" w:fill="auto"/>
            <w:noWrap/>
            <w:vAlign w:val="bottom"/>
          </w:tcPr>
          <w:p w:rsidR="00E23AA0" w:rsidRPr="004B287E" w:rsidRDefault="00E23AA0" w:rsidP="002031D8">
            <w:pPr>
              <w:spacing w:after="0" w:line="240" w:lineRule="auto"/>
              <w:jc w:val="center"/>
              <w:rPr>
                <w:rFonts w:eastAsia="Times New Roman" w:cstheme="minorHAnsi"/>
                <w:lang w:eastAsia="tr-TR"/>
              </w:rPr>
            </w:pPr>
            <w:r w:rsidRPr="004B287E">
              <w:rPr>
                <w:rFonts w:eastAsia="Times New Roman" w:cstheme="minorHAnsi"/>
                <w:lang w:eastAsia="tr-TR"/>
              </w:rPr>
              <w:t>1,79</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2005</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1.096</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1.675</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1,53</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2006</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1.601</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1.700</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1,06</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2007</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1.044</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1.737</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1,66</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2008</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866</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1.472</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1,70</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2009</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1.171</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2.638</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2,25</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2010</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1.454</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3.040</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2,09</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2011</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1710</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2.984</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1,75</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2012</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745</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2.575</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3,46</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2013</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1.360</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1.298</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0,95</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2014</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1.626</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1.809</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1,11</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2015</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1.252</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2.758</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2,20</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2016</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1.405</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2.829</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2,01</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2017</w:t>
            </w:r>
          </w:p>
        </w:tc>
        <w:tc>
          <w:tcPr>
            <w:tcW w:w="2044"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1.633</w:t>
            </w:r>
          </w:p>
        </w:tc>
        <w:tc>
          <w:tcPr>
            <w:tcW w:w="2192" w:type="dxa"/>
            <w:shd w:val="clear" w:color="auto" w:fill="auto"/>
            <w:noWrap/>
            <w:vAlign w:val="center"/>
            <w:hideMark/>
          </w:tcPr>
          <w:p w:rsidR="002031D8" w:rsidRPr="002031D8" w:rsidRDefault="002031D8" w:rsidP="002031D8">
            <w:pPr>
              <w:spacing w:after="0" w:line="240" w:lineRule="auto"/>
              <w:jc w:val="right"/>
              <w:rPr>
                <w:rFonts w:eastAsia="Times New Roman" w:cstheme="minorHAnsi"/>
                <w:lang w:eastAsia="tr-TR"/>
              </w:rPr>
            </w:pPr>
            <w:r w:rsidRPr="002031D8">
              <w:rPr>
                <w:rFonts w:eastAsia="Times New Roman" w:cstheme="minorHAnsi"/>
                <w:lang w:eastAsia="tr-TR"/>
              </w:rPr>
              <w:t>3.246</w:t>
            </w:r>
          </w:p>
        </w:tc>
        <w:tc>
          <w:tcPr>
            <w:tcW w:w="1142" w:type="dxa"/>
            <w:shd w:val="clear" w:color="auto" w:fill="auto"/>
            <w:noWrap/>
            <w:vAlign w:val="bottom"/>
            <w:hideMark/>
          </w:tcPr>
          <w:p w:rsidR="002031D8" w:rsidRPr="002031D8" w:rsidRDefault="002031D8" w:rsidP="002031D8">
            <w:pPr>
              <w:spacing w:after="0" w:line="240" w:lineRule="auto"/>
              <w:jc w:val="center"/>
              <w:rPr>
                <w:rFonts w:eastAsia="Times New Roman" w:cstheme="minorHAnsi"/>
                <w:lang w:eastAsia="tr-TR"/>
              </w:rPr>
            </w:pPr>
            <w:r w:rsidRPr="002031D8">
              <w:rPr>
                <w:rFonts w:eastAsia="Times New Roman" w:cstheme="minorHAnsi"/>
                <w:lang w:eastAsia="tr-TR"/>
              </w:rPr>
              <w:t>1,99</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Toplam</w:t>
            </w:r>
          </w:p>
        </w:tc>
        <w:tc>
          <w:tcPr>
            <w:tcW w:w="2044" w:type="dxa"/>
            <w:shd w:val="clear" w:color="auto" w:fill="auto"/>
            <w:noWrap/>
            <w:vAlign w:val="center"/>
            <w:hideMark/>
          </w:tcPr>
          <w:p w:rsidR="002031D8" w:rsidRPr="002031D8" w:rsidRDefault="00E23AA0" w:rsidP="002031D8">
            <w:pPr>
              <w:spacing w:after="0" w:line="240" w:lineRule="auto"/>
              <w:jc w:val="right"/>
              <w:rPr>
                <w:rFonts w:eastAsia="Times New Roman" w:cstheme="minorHAnsi"/>
                <w:b/>
                <w:lang w:eastAsia="tr-TR"/>
              </w:rPr>
            </w:pPr>
            <w:r w:rsidRPr="004B287E">
              <w:rPr>
                <w:rFonts w:eastAsia="Times New Roman" w:cstheme="minorHAnsi"/>
                <w:b/>
                <w:lang w:eastAsia="tr-TR"/>
              </w:rPr>
              <w:t>17.806</w:t>
            </w:r>
          </w:p>
        </w:tc>
        <w:tc>
          <w:tcPr>
            <w:tcW w:w="2192" w:type="dxa"/>
            <w:shd w:val="clear" w:color="auto" w:fill="auto"/>
            <w:noWrap/>
            <w:vAlign w:val="center"/>
            <w:hideMark/>
          </w:tcPr>
          <w:p w:rsidR="002031D8" w:rsidRPr="002031D8" w:rsidRDefault="00E23AA0" w:rsidP="002031D8">
            <w:pPr>
              <w:spacing w:after="0" w:line="240" w:lineRule="auto"/>
              <w:jc w:val="right"/>
              <w:rPr>
                <w:rFonts w:eastAsia="Times New Roman" w:cstheme="minorHAnsi"/>
                <w:b/>
                <w:lang w:eastAsia="tr-TR"/>
              </w:rPr>
            </w:pPr>
            <w:r w:rsidRPr="004B287E">
              <w:rPr>
                <w:rFonts w:eastAsia="Times New Roman" w:cstheme="minorHAnsi"/>
                <w:b/>
                <w:lang w:eastAsia="tr-TR"/>
              </w:rPr>
              <w:t>31.266</w:t>
            </w:r>
          </w:p>
        </w:tc>
        <w:tc>
          <w:tcPr>
            <w:tcW w:w="1142" w:type="dxa"/>
            <w:shd w:val="clear" w:color="auto" w:fill="auto"/>
            <w:noWrap/>
            <w:vAlign w:val="bottom"/>
            <w:hideMark/>
          </w:tcPr>
          <w:p w:rsidR="002031D8" w:rsidRPr="002031D8" w:rsidRDefault="00E23AA0" w:rsidP="002031D8">
            <w:pPr>
              <w:spacing w:after="0" w:line="240" w:lineRule="auto"/>
              <w:jc w:val="center"/>
              <w:rPr>
                <w:rFonts w:eastAsia="Times New Roman" w:cstheme="minorHAnsi"/>
                <w:b/>
                <w:lang w:eastAsia="tr-TR"/>
              </w:rPr>
            </w:pPr>
            <w:r w:rsidRPr="004B287E">
              <w:rPr>
                <w:rFonts w:eastAsia="Times New Roman" w:cstheme="minorHAnsi"/>
                <w:b/>
                <w:lang w:eastAsia="tr-TR"/>
              </w:rPr>
              <w:t>1,76</w:t>
            </w:r>
          </w:p>
        </w:tc>
      </w:tr>
      <w:tr w:rsidR="004B287E" w:rsidRPr="004B287E" w:rsidTr="002031D8">
        <w:trPr>
          <w:trHeight w:val="315"/>
          <w:jc w:val="center"/>
        </w:trPr>
        <w:tc>
          <w:tcPr>
            <w:tcW w:w="960" w:type="dxa"/>
            <w:shd w:val="clear" w:color="auto" w:fill="auto"/>
            <w:noWrap/>
            <w:vAlign w:val="center"/>
            <w:hideMark/>
          </w:tcPr>
          <w:p w:rsidR="002031D8" w:rsidRPr="002031D8" w:rsidRDefault="002031D8" w:rsidP="002031D8">
            <w:pPr>
              <w:spacing w:after="0" w:line="240" w:lineRule="auto"/>
              <w:jc w:val="center"/>
              <w:rPr>
                <w:rFonts w:eastAsia="Times New Roman" w:cstheme="minorHAnsi"/>
                <w:b/>
                <w:bCs/>
                <w:lang w:eastAsia="tr-TR"/>
              </w:rPr>
            </w:pPr>
            <w:r w:rsidRPr="002031D8">
              <w:rPr>
                <w:rFonts w:eastAsia="Times New Roman" w:cstheme="minorHAnsi"/>
                <w:b/>
                <w:bCs/>
                <w:lang w:eastAsia="tr-TR"/>
              </w:rPr>
              <w:t>Ortalama</w:t>
            </w:r>
          </w:p>
        </w:tc>
        <w:tc>
          <w:tcPr>
            <w:tcW w:w="2044" w:type="dxa"/>
            <w:shd w:val="clear" w:color="auto" w:fill="auto"/>
            <w:noWrap/>
            <w:vAlign w:val="center"/>
            <w:hideMark/>
          </w:tcPr>
          <w:p w:rsidR="002031D8" w:rsidRPr="002031D8" w:rsidRDefault="00E23AA0" w:rsidP="00E23AA0">
            <w:pPr>
              <w:spacing w:after="0" w:line="240" w:lineRule="auto"/>
              <w:jc w:val="right"/>
              <w:rPr>
                <w:rFonts w:eastAsia="Times New Roman" w:cstheme="minorHAnsi"/>
                <w:i/>
                <w:lang w:eastAsia="tr-TR"/>
              </w:rPr>
            </w:pPr>
            <w:r w:rsidRPr="004B287E">
              <w:rPr>
                <w:rFonts w:eastAsia="Times New Roman" w:cstheme="minorHAnsi"/>
                <w:i/>
                <w:lang w:eastAsia="tr-TR"/>
              </w:rPr>
              <w:t>1.370</w:t>
            </w:r>
          </w:p>
        </w:tc>
        <w:tc>
          <w:tcPr>
            <w:tcW w:w="2192" w:type="dxa"/>
            <w:shd w:val="clear" w:color="auto" w:fill="auto"/>
            <w:noWrap/>
            <w:vAlign w:val="center"/>
            <w:hideMark/>
          </w:tcPr>
          <w:p w:rsidR="002031D8" w:rsidRPr="002031D8" w:rsidRDefault="002031D8" w:rsidP="00E23AA0">
            <w:pPr>
              <w:spacing w:after="0" w:line="240" w:lineRule="auto"/>
              <w:jc w:val="right"/>
              <w:rPr>
                <w:rFonts w:eastAsia="Times New Roman" w:cstheme="minorHAnsi"/>
                <w:i/>
                <w:lang w:eastAsia="tr-TR"/>
              </w:rPr>
            </w:pPr>
            <w:r w:rsidRPr="002031D8">
              <w:rPr>
                <w:rFonts w:eastAsia="Times New Roman" w:cstheme="minorHAnsi"/>
                <w:i/>
                <w:lang w:eastAsia="tr-TR"/>
              </w:rPr>
              <w:t>2.</w:t>
            </w:r>
            <w:r w:rsidR="00E23AA0" w:rsidRPr="004B287E">
              <w:rPr>
                <w:rFonts w:eastAsia="Times New Roman" w:cstheme="minorHAnsi"/>
                <w:i/>
                <w:lang w:eastAsia="tr-TR"/>
              </w:rPr>
              <w:t>405</w:t>
            </w:r>
          </w:p>
        </w:tc>
        <w:tc>
          <w:tcPr>
            <w:tcW w:w="1142" w:type="dxa"/>
            <w:shd w:val="clear" w:color="auto" w:fill="auto"/>
            <w:noWrap/>
            <w:vAlign w:val="center"/>
            <w:hideMark/>
          </w:tcPr>
          <w:p w:rsidR="002031D8" w:rsidRPr="002031D8" w:rsidRDefault="002031D8" w:rsidP="00E23AA0">
            <w:pPr>
              <w:spacing w:after="0" w:line="240" w:lineRule="auto"/>
              <w:jc w:val="center"/>
              <w:rPr>
                <w:rFonts w:eastAsia="Times New Roman" w:cstheme="minorHAnsi"/>
                <w:i/>
                <w:lang w:eastAsia="tr-TR"/>
              </w:rPr>
            </w:pPr>
            <w:r w:rsidRPr="002031D8">
              <w:rPr>
                <w:rFonts w:eastAsia="Times New Roman" w:cstheme="minorHAnsi"/>
                <w:i/>
                <w:lang w:eastAsia="tr-TR"/>
              </w:rPr>
              <w:t>1,8</w:t>
            </w:r>
            <w:r w:rsidR="00E23AA0" w:rsidRPr="004B287E">
              <w:rPr>
                <w:rFonts w:eastAsia="Times New Roman" w:cstheme="minorHAnsi"/>
                <w:i/>
                <w:lang w:eastAsia="tr-TR"/>
              </w:rPr>
              <w:t>3</w:t>
            </w:r>
          </w:p>
        </w:tc>
      </w:tr>
    </w:tbl>
    <w:p w:rsidR="001555CD" w:rsidRPr="004B287E" w:rsidRDefault="00E23AA0" w:rsidP="00E23AA0">
      <w:pPr>
        <w:ind w:firstLine="567"/>
        <w:jc w:val="center"/>
        <w:rPr>
          <w:i/>
        </w:rPr>
      </w:pPr>
      <w:r w:rsidRPr="004B287E">
        <w:rPr>
          <w:b/>
          <w:i/>
        </w:rPr>
        <w:t>Kaynak</w:t>
      </w:r>
      <w:r w:rsidRPr="004B287E">
        <w:rPr>
          <w:i/>
        </w:rPr>
        <w:t>: Sütun (1) SGK İstatistikleri. Sütun (II): SGK, 2013, Tablo 2.11; SGK, 2017,</w:t>
      </w:r>
      <w:r w:rsidR="00C54F58" w:rsidRPr="004B287E">
        <w:rPr>
          <w:i/>
        </w:rPr>
        <w:t xml:space="preserve"> Tablo </w:t>
      </w:r>
      <w:proofErr w:type="gramStart"/>
      <w:r w:rsidR="00C54F58" w:rsidRPr="004B287E">
        <w:rPr>
          <w:i/>
        </w:rPr>
        <w:t>2.9</w:t>
      </w:r>
      <w:proofErr w:type="gramEnd"/>
    </w:p>
    <w:p w:rsidR="00F55F30" w:rsidRDefault="00F55F30" w:rsidP="00FA7216">
      <w:pPr>
        <w:ind w:firstLine="567"/>
        <w:jc w:val="both"/>
      </w:pPr>
      <w:r>
        <w:t>Tablo-8</w:t>
      </w:r>
      <w:r w:rsidR="00C54F58" w:rsidRPr="004B287E">
        <w:t xml:space="preserve"> 2004-2017 döneminde </w:t>
      </w:r>
      <w:proofErr w:type="spellStart"/>
      <w:r w:rsidR="00C54F58" w:rsidRPr="004B287E">
        <w:t>SGK'nın</w:t>
      </w:r>
      <w:proofErr w:type="spellEnd"/>
      <w:r w:rsidR="00C54F58" w:rsidRPr="004B287E">
        <w:t xml:space="preserve"> meslek hastalığı ve iş kazası sonucu olarak açıkladığı ölümlerin 1,83 katı kadar ölüm geliri dosyası bulunduğunu göstermektedir. </w:t>
      </w:r>
    </w:p>
    <w:p w:rsidR="00243EB1" w:rsidRPr="00A91BD3" w:rsidRDefault="0057000A" w:rsidP="00243EB1">
      <w:pPr>
        <w:spacing w:line="253" w:lineRule="atLeast"/>
        <w:rPr>
          <w:rFonts w:ascii="Calibri" w:eastAsia="Times New Roman" w:hAnsi="Calibri" w:cs="Calibri"/>
          <w:shd w:val="clear" w:color="auto" w:fill="FFFFFF"/>
          <w:lang w:eastAsia="tr-TR"/>
        </w:rPr>
      </w:pPr>
      <w:r>
        <w:t xml:space="preserve">SGK verilerinde "ölüm geliri bağlanan dosya sayısı" konusunda bir belirsizlik bulunmaktadır. Sosyal Sigorta İşlemleri Yönetmeliği'ne göre </w:t>
      </w:r>
      <w:r w:rsidR="00EA491A">
        <w:t>"</w:t>
      </w:r>
      <w:r w:rsidR="00EA491A" w:rsidRPr="00243EB1">
        <w:rPr>
          <w:i/>
        </w:rPr>
        <w:t>iş kazası veya meslek hastalığı sonucu v</w:t>
      </w:r>
      <w:r w:rsidR="00243EB1">
        <w:rPr>
          <w:i/>
        </w:rPr>
        <w:t>e</w:t>
      </w:r>
      <w:r w:rsidR="00EA491A" w:rsidRPr="00243EB1">
        <w:rPr>
          <w:i/>
        </w:rPr>
        <w:t>ya sürekli iş göremezlik geliri almakta iken ölen sigortalının hak sahiplerine, ölüm geliri bağlanır</w:t>
      </w:r>
      <w:r w:rsidR="00EA491A" w:rsidRPr="00A91BD3">
        <w:t xml:space="preserve">." </w:t>
      </w:r>
      <w:r w:rsidR="00243EB1" w:rsidRPr="00A91BD3">
        <w:t xml:space="preserve">Bu tanıma göre </w:t>
      </w:r>
      <w:r w:rsidR="00243EB1" w:rsidRPr="00A91BD3">
        <w:rPr>
          <w:rFonts w:ascii="Calibri" w:eastAsia="Times New Roman" w:hAnsi="Calibri" w:cs="Calibri"/>
          <w:shd w:val="clear" w:color="auto" w:fill="FFFFFF"/>
          <w:lang w:eastAsia="tr-TR"/>
        </w:rPr>
        <w:t xml:space="preserve">iş kazası sonucunda %50 iş göremezlik tespiti nedeniyle sürekli iş göremezlik geliri alan bir sigortalı başka bir nedenle öldüğünde de hak sahiplerine "ölüm geliri" bağlanacaktır. Başka bazı olaylarda ise ölüm doğrudan doğruya iş kazası veya meslek hastalığı sonucunda olmuş ve hak sahiplerine yine "ölüm geliri" bağlanmış olacaktır. </w:t>
      </w:r>
    </w:p>
    <w:p w:rsidR="00243EB1" w:rsidRPr="00A91BD3" w:rsidRDefault="00EA491A" w:rsidP="00FA7216">
      <w:pPr>
        <w:ind w:firstLine="567"/>
        <w:jc w:val="both"/>
      </w:pPr>
      <w:r>
        <w:t>Bu nedenle hak sahiplerine ölüm geliri bağlanan dosya</w:t>
      </w:r>
      <w:r w:rsidR="008D6B7F">
        <w:t xml:space="preserve">ları sadece "iş kazası veya meslek hastalığı sonucunda ölenler" ile sınırlı olmaması gerekir. Ancak SGK istatistiklerinin hak sahiplerine ilişkin sunduğu </w:t>
      </w:r>
      <w:r w:rsidR="008D6B7F">
        <w:lastRenderedPageBreak/>
        <w:t>veriler ile</w:t>
      </w:r>
      <w:r w:rsidR="008B68C8">
        <w:t xml:space="preserve">, "iş kazası ve meslek hastalığı sonucu </w:t>
      </w:r>
      <w:proofErr w:type="gramStart"/>
      <w:r w:rsidR="008B68C8">
        <w:t>ölenlerin …</w:t>
      </w:r>
      <w:proofErr w:type="gramEnd"/>
      <w:r w:rsidR="008B68C8">
        <w:t xml:space="preserve"> </w:t>
      </w:r>
      <w:proofErr w:type="gramStart"/>
      <w:r w:rsidR="008B68C8">
        <w:t>ölüm</w:t>
      </w:r>
      <w:proofErr w:type="gramEnd"/>
      <w:r w:rsidR="008B68C8">
        <w:t xml:space="preserve"> geliri bağlanan hak sahipleri" (Tablo 3.40 (4a) birbiriyle örtüşmektedir. </w:t>
      </w:r>
      <w:r w:rsidR="005B3F5E">
        <w:t xml:space="preserve">Örneğin 2017 istatistiklerine göre hak sahiplerine "ölüm geliri" bağlanan dosya sayısı birikimli olarak 58.255 iken hak sahibi sayısı 89.501 kişidir (Tablo-2.10). "İş kazası ve meslek hastalığı sonucu </w:t>
      </w:r>
      <w:proofErr w:type="gramStart"/>
      <w:r w:rsidR="005B3F5E">
        <w:t>ölenlerin …</w:t>
      </w:r>
      <w:proofErr w:type="gramEnd"/>
      <w:r w:rsidR="005B3F5E">
        <w:t xml:space="preserve"> </w:t>
      </w:r>
      <w:proofErr w:type="gramStart"/>
      <w:r w:rsidR="005B3F5E">
        <w:t>ölüm</w:t>
      </w:r>
      <w:proofErr w:type="gramEnd"/>
      <w:r w:rsidR="005B3F5E">
        <w:t xml:space="preserve"> geliri bağlanan hak sahipleri" (Tablo 3.40 (4a))  tablosuna göre de 58.255 dosyadan 89.501 kişiye ölüm geliri bağlanmıştır. Ancak SGK verilerinde yıllardan beri açık olarak "iş kazası ve meslek hastalığı sonucu ölenlerin ölüm geliri alan hak sahipleri" kavramı kullanılmaktadır. Bu tanımlama bir neden-sonuç ilişkisini ifade etmektedir. </w:t>
      </w:r>
      <w:r w:rsidR="00243EB1">
        <w:t xml:space="preserve">Yine bazı tablolarda ifade daha da ayrıntılı halde kullanılmaktadır: </w:t>
      </w:r>
      <w:r w:rsidR="00243EB1" w:rsidRPr="00A91BD3">
        <w:rPr>
          <w:rFonts w:ascii="Calibri" w:eastAsia="Times New Roman" w:hAnsi="Calibri" w:cs="Calibri"/>
          <w:shd w:val="clear" w:color="auto" w:fill="FFFFFF"/>
          <w:lang w:eastAsia="tr-TR"/>
        </w:rPr>
        <w:t>"2017 yılı içinde meslek hastalığı </w:t>
      </w:r>
      <w:r w:rsidR="00243EB1" w:rsidRPr="00A91BD3">
        <w:rPr>
          <w:rFonts w:ascii="Calibri" w:eastAsia="Times New Roman" w:hAnsi="Calibri" w:cs="Calibri"/>
          <w:u w:val="single"/>
          <w:shd w:val="clear" w:color="auto" w:fill="FFFFFF"/>
          <w:lang w:eastAsia="tr-TR"/>
        </w:rPr>
        <w:t>sonucu ölenlerin</w:t>
      </w:r>
      <w:r w:rsidR="00243EB1" w:rsidRPr="00A91BD3">
        <w:rPr>
          <w:rFonts w:ascii="Calibri" w:eastAsia="Times New Roman" w:hAnsi="Calibri" w:cs="Calibri"/>
          <w:shd w:val="clear" w:color="auto" w:fill="FFFFFF"/>
          <w:lang w:eastAsia="tr-TR"/>
        </w:rPr>
        <w:t xml:space="preserve">, ölüm geliri bağlanan </w:t>
      </w:r>
      <w:proofErr w:type="spellStart"/>
      <w:r w:rsidR="00243EB1" w:rsidRPr="00A91BD3">
        <w:rPr>
          <w:rFonts w:ascii="Calibri" w:eastAsia="Times New Roman" w:hAnsi="Calibri" w:cs="Calibri"/>
          <w:shd w:val="clear" w:color="auto" w:fill="FFFFFF"/>
          <w:lang w:eastAsia="tr-TR"/>
        </w:rPr>
        <w:t>haksahipleri</w:t>
      </w:r>
      <w:proofErr w:type="spellEnd"/>
      <w:r w:rsidR="00243EB1" w:rsidRPr="00A91BD3">
        <w:rPr>
          <w:rFonts w:ascii="Calibri" w:eastAsia="Times New Roman" w:hAnsi="Calibri" w:cs="Calibri"/>
          <w:shd w:val="clear" w:color="auto" w:fill="FFFFFF"/>
          <w:lang w:eastAsia="tr-TR"/>
        </w:rPr>
        <w:t>" ve "Geçmiş yıllarda meslek hastalığı </w:t>
      </w:r>
      <w:r w:rsidR="00243EB1" w:rsidRPr="00A91BD3">
        <w:rPr>
          <w:rFonts w:ascii="Calibri" w:eastAsia="Times New Roman" w:hAnsi="Calibri" w:cs="Calibri"/>
          <w:u w:val="single"/>
          <w:shd w:val="clear" w:color="auto" w:fill="FFFFFF"/>
          <w:lang w:eastAsia="tr-TR"/>
        </w:rPr>
        <w:t>sonucu ölenlerin</w:t>
      </w:r>
      <w:r w:rsidR="00243EB1" w:rsidRPr="00A91BD3">
        <w:rPr>
          <w:rFonts w:ascii="Calibri" w:eastAsia="Times New Roman" w:hAnsi="Calibri" w:cs="Calibri"/>
          <w:shd w:val="clear" w:color="auto" w:fill="FFFFFF"/>
          <w:lang w:eastAsia="tr-TR"/>
        </w:rPr>
        <w:t xml:space="preserve">, 2017 yılı içinde ölüm geliri bağlanan </w:t>
      </w:r>
      <w:proofErr w:type="spellStart"/>
      <w:r w:rsidR="00243EB1" w:rsidRPr="00A91BD3">
        <w:rPr>
          <w:rFonts w:ascii="Calibri" w:eastAsia="Times New Roman" w:hAnsi="Calibri" w:cs="Calibri"/>
          <w:shd w:val="clear" w:color="auto" w:fill="FFFFFF"/>
          <w:lang w:eastAsia="tr-TR"/>
        </w:rPr>
        <w:t>haksahipleri</w:t>
      </w:r>
      <w:proofErr w:type="spellEnd"/>
      <w:r w:rsidR="00243EB1" w:rsidRPr="00A91BD3">
        <w:rPr>
          <w:rFonts w:ascii="Calibri" w:eastAsia="Times New Roman" w:hAnsi="Calibri" w:cs="Calibri"/>
          <w:shd w:val="clear" w:color="auto" w:fill="FFFFFF"/>
          <w:lang w:eastAsia="tr-TR"/>
        </w:rPr>
        <w:t>" (Tablo 3.42(a)).</w:t>
      </w:r>
    </w:p>
    <w:p w:rsidR="00243EB1" w:rsidRDefault="005B3F5E" w:rsidP="00FA7216">
      <w:pPr>
        <w:ind w:firstLine="567"/>
        <w:jc w:val="both"/>
      </w:pPr>
      <w:r>
        <w:t xml:space="preserve">Verilerdeki çelişkileri aydınlatmak </w:t>
      </w:r>
      <w:proofErr w:type="spellStart"/>
      <w:r>
        <w:t>SGK'nın</w:t>
      </w:r>
      <w:proofErr w:type="spellEnd"/>
      <w:r>
        <w:t xml:space="preserve"> görevidir. Çalışmamızda, konu aydınlatılıncaya kadar, SGK istatistiklerindeki ifadeye uygun olarak değerlendirme yapılacaktır. </w:t>
      </w:r>
    </w:p>
    <w:p w:rsidR="00FA7216" w:rsidRPr="004B287E" w:rsidRDefault="00243EB1" w:rsidP="00FA7216">
      <w:pPr>
        <w:ind w:firstLine="567"/>
        <w:jc w:val="both"/>
      </w:pPr>
      <w:r>
        <w:t xml:space="preserve">Halen açık olan dosyaların </w:t>
      </w:r>
      <w:r w:rsidR="00FA7216" w:rsidRPr="004B287E">
        <w:t xml:space="preserve">54 bin'i iş kazası, yaklaşık 4 bin'i ise meslek hastalığından kaynaklanmaktadır. </w:t>
      </w:r>
      <w:r w:rsidR="008B685D" w:rsidRPr="004B287E">
        <w:t>Açık d</w:t>
      </w:r>
      <w:r w:rsidR="00FA7216" w:rsidRPr="004B287E">
        <w:t>osya sayısı</w:t>
      </w:r>
      <w:r w:rsidR="008B685D" w:rsidRPr="004B287E">
        <w:t>,</w:t>
      </w:r>
      <w:r w:rsidR="00FA7216" w:rsidRPr="004B287E">
        <w:t xml:space="preserve"> iş kazası ve meslek hastalığında</w:t>
      </w:r>
      <w:r w:rsidR="008B685D" w:rsidRPr="004B287E">
        <w:t>n</w:t>
      </w:r>
      <w:r w:rsidR="00FA7216" w:rsidRPr="004B287E">
        <w:t xml:space="preserve"> ölen ve halen en azından bir hak sahibinin olduğu</w:t>
      </w:r>
      <w:r w:rsidR="008B685D" w:rsidRPr="004B287E">
        <w:t>,</w:t>
      </w:r>
      <w:r w:rsidR="00FA7216" w:rsidRPr="004B287E">
        <w:t xml:space="preserve"> kişi sayısını göstermektedir. Yayınlanan verilerde bu dosyaların hangi yıllara ait olduğu görülememektedir. 2017 yılı içinde 3.246 dosya kapsamında 6.854 kişiye ölüm geliri bağlanmıştır.</w:t>
      </w:r>
    </w:p>
    <w:p w:rsidR="00D458A5" w:rsidRPr="004B287E" w:rsidRDefault="00D458A5" w:rsidP="00FA7216">
      <w:pPr>
        <w:pStyle w:val="Balk3"/>
        <w:numPr>
          <w:ilvl w:val="1"/>
          <w:numId w:val="10"/>
        </w:numPr>
      </w:pPr>
      <w:bookmarkStart w:id="21" w:name="_Toc536280782"/>
      <w:r w:rsidRPr="004B287E">
        <w:t>Meslek Hastalığı Sonucu Ölümler</w:t>
      </w:r>
      <w:bookmarkEnd w:id="21"/>
    </w:p>
    <w:p w:rsidR="00D458A5" w:rsidRPr="004B287E" w:rsidRDefault="00D458A5" w:rsidP="00C54F58">
      <w:pPr>
        <w:ind w:firstLine="567"/>
        <w:jc w:val="both"/>
      </w:pPr>
      <w:r w:rsidRPr="004B287E">
        <w:t xml:space="preserve">Meslek hastalıklarının tespit edilmemesi Türkiye'deki işçi sağlığı ve iş güvenliği sisteminin en önemli sorunlarından birisidir. Bu nedenle bu bölümde meslek hastalığı sonucu ölümler üzerinde özel olarak durulacaktır. </w:t>
      </w:r>
      <w:r w:rsidR="00FA7216" w:rsidRPr="004B287E">
        <w:t xml:space="preserve">Tablo-8'de </w:t>
      </w:r>
      <w:r w:rsidR="001A656C" w:rsidRPr="004B287E">
        <w:t>sunulan</w:t>
      </w:r>
      <w:r w:rsidR="00FA7216" w:rsidRPr="004B287E">
        <w:t xml:space="preserve"> veriler içinden meslek hastalıkları sonucunda ölüm geliri bağlanan dosya sayısını ayrıştırabildiğimiz 2013-2017 dönemine ilişkin verileri Tablo-9'da sunu</w:t>
      </w:r>
      <w:r w:rsidR="001A656C" w:rsidRPr="004B287E">
        <w:t>lmaktadır</w:t>
      </w:r>
      <w:r w:rsidR="00FA7216" w:rsidRPr="004B287E">
        <w:t xml:space="preserve">. </w:t>
      </w:r>
    </w:p>
    <w:p w:rsidR="007B7648" w:rsidRPr="004B287E" w:rsidRDefault="007B7648" w:rsidP="007B7648">
      <w:pPr>
        <w:pStyle w:val="TabloBal"/>
        <w:rPr>
          <w:color w:val="auto"/>
        </w:rPr>
      </w:pPr>
      <w:bookmarkStart w:id="22" w:name="_Toc536279469"/>
      <w:r w:rsidRPr="004B287E">
        <w:rPr>
          <w:b/>
          <w:color w:val="auto"/>
        </w:rPr>
        <w:t>Tablo-</w:t>
      </w:r>
      <w:r w:rsidR="00C54F58" w:rsidRPr="004B287E">
        <w:rPr>
          <w:b/>
          <w:color w:val="auto"/>
        </w:rPr>
        <w:t>9</w:t>
      </w:r>
      <w:r w:rsidRPr="004B287E">
        <w:rPr>
          <w:color w:val="auto"/>
        </w:rPr>
        <w:t xml:space="preserve">: </w:t>
      </w:r>
      <w:r w:rsidRPr="004B287E">
        <w:rPr>
          <w:color w:val="auto"/>
          <w:spacing w:val="-4"/>
        </w:rPr>
        <w:t>Meslek Hastalığı Sonucu Ölen İşçiler İçin Ölüm Geliri Bağlanan Hak Sahipleri, 2013-2017</w:t>
      </w:r>
      <w:bookmarkEnd w:id="22"/>
    </w:p>
    <w:tbl>
      <w:tblPr>
        <w:tblStyle w:val="TabloKlavuzu"/>
        <w:tblW w:w="5459" w:type="dxa"/>
        <w:jc w:val="center"/>
        <w:tblLayout w:type="fixed"/>
        <w:tblCellMar>
          <w:left w:w="57" w:type="dxa"/>
          <w:right w:w="57" w:type="dxa"/>
        </w:tblCellMar>
        <w:tblLook w:val="04A0"/>
      </w:tblPr>
      <w:tblGrid>
        <w:gridCol w:w="1475"/>
        <w:gridCol w:w="1964"/>
        <w:gridCol w:w="2020"/>
      </w:tblGrid>
      <w:tr w:rsidR="004B287E" w:rsidRPr="004B287E" w:rsidTr="00243EB1">
        <w:trPr>
          <w:trHeight w:val="557"/>
          <w:jc w:val="center"/>
        </w:trPr>
        <w:tc>
          <w:tcPr>
            <w:tcW w:w="1475" w:type="dxa"/>
            <w:vAlign w:val="center"/>
          </w:tcPr>
          <w:p w:rsidR="00FA7216" w:rsidRPr="004B287E" w:rsidRDefault="00FA7216" w:rsidP="001555CD">
            <w:pPr>
              <w:jc w:val="center"/>
              <w:rPr>
                <w:rFonts w:cstheme="minorHAnsi"/>
                <w:b/>
                <w:sz w:val="20"/>
                <w:szCs w:val="20"/>
              </w:rPr>
            </w:pPr>
            <w:r w:rsidRPr="004B287E">
              <w:rPr>
                <w:rFonts w:cstheme="minorHAnsi"/>
                <w:b/>
                <w:sz w:val="20"/>
                <w:szCs w:val="20"/>
              </w:rPr>
              <w:t>Dönem</w:t>
            </w:r>
          </w:p>
        </w:tc>
        <w:tc>
          <w:tcPr>
            <w:tcW w:w="1964" w:type="dxa"/>
          </w:tcPr>
          <w:p w:rsidR="00FA7216" w:rsidRPr="004B287E" w:rsidRDefault="00FA7216" w:rsidP="009A39B8">
            <w:pPr>
              <w:jc w:val="center"/>
              <w:rPr>
                <w:rFonts w:cstheme="minorHAnsi"/>
                <w:b/>
                <w:sz w:val="20"/>
                <w:szCs w:val="20"/>
              </w:rPr>
            </w:pPr>
            <w:r w:rsidRPr="004B287E">
              <w:rPr>
                <w:rFonts w:cstheme="minorHAnsi"/>
                <w:b/>
                <w:sz w:val="20"/>
                <w:szCs w:val="20"/>
              </w:rPr>
              <w:t>SGK Meslek Hastalığı Ölüm Verisi</w:t>
            </w:r>
          </w:p>
        </w:tc>
        <w:tc>
          <w:tcPr>
            <w:tcW w:w="2020" w:type="dxa"/>
            <w:vAlign w:val="center"/>
          </w:tcPr>
          <w:p w:rsidR="00FA7216" w:rsidRPr="004B287E" w:rsidRDefault="00FA7216" w:rsidP="001555CD">
            <w:pPr>
              <w:jc w:val="center"/>
              <w:rPr>
                <w:rFonts w:cstheme="minorHAnsi"/>
                <w:b/>
                <w:sz w:val="20"/>
                <w:szCs w:val="20"/>
              </w:rPr>
            </w:pPr>
            <w:r w:rsidRPr="004B287E">
              <w:rPr>
                <w:rFonts w:cstheme="minorHAnsi"/>
                <w:b/>
                <w:sz w:val="20"/>
                <w:szCs w:val="20"/>
              </w:rPr>
              <w:t>Meslek Hastalığı Ölüm Geliri - Dosya</w:t>
            </w:r>
          </w:p>
        </w:tc>
      </w:tr>
      <w:tr w:rsidR="004B287E" w:rsidRPr="004B287E" w:rsidTr="00243EB1">
        <w:trPr>
          <w:jc w:val="center"/>
        </w:trPr>
        <w:tc>
          <w:tcPr>
            <w:tcW w:w="1475" w:type="dxa"/>
          </w:tcPr>
          <w:p w:rsidR="00FA7216" w:rsidRPr="004B287E" w:rsidRDefault="00FA7216" w:rsidP="001555CD">
            <w:pPr>
              <w:jc w:val="right"/>
              <w:rPr>
                <w:rFonts w:cstheme="minorHAnsi"/>
                <w:sz w:val="20"/>
                <w:szCs w:val="20"/>
              </w:rPr>
            </w:pPr>
            <w:r w:rsidRPr="004B287E">
              <w:rPr>
                <w:rFonts w:cstheme="minorHAnsi"/>
                <w:sz w:val="20"/>
                <w:szCs w:val="20"/>
              </w:rPr>
              <w:t>2013</w:t>
            </w:r>
          </w:p>
        </w:tc>
        <w:tc>
          <w:tcPr>
            <w:tcW w:w="1964" w:type="dxa"/>
          </w:tcPr>
          <w:p w:rsidR="00FA7216" w:rsidRPr="004B287E" w:rsidRDefault="00FA7216" w:rsidP="009A39B8">
            <w:pPr>
              <w:jc w:val="right"/>
              <w:rPr>
                <w:rFonts w:cstheme="minorHAnsi"/>
                <w:sz w:val="20"/>
                <w:szCs w:val="20"/>
              </w:rPr>
            </w:pPr>
            <w:r w:rsidRPr="004B287E">
              <w:rPr>
                <w:rFonts w:cstheme="minorHAnsi"/>
                <w:sz w:val="20"/>
                <w:szCs w:val="20"/>
              </w:rPr>
              <w:t>0</w:t>
            </w:r>
          </w:p>
        </w:tc>
        <w:tc>
          <w:tcPr>
            <w:tcW w:w="2020" w:type="dxa"/>
          </w:tcPr>
          <w:p w:rsidR="00FA7216" w:rsidRPr="004B287E" w:rsidRDefault="00FA7216" w:rsidP="001555CD">
            <w:pPr>
              <w:jc w:val="right"/>
              <w:rPr>
                <w:rFonts w:cstheme="minorHAnsi"/>
                <w:sz w:val="20"/>
                <w:szCs w:val="20"/>
              </w:rPr>
            </w:pPr>
            <w:r w:rsidRPr="004B287E">
              <w:rPr>
                <w:rFonts w:cstheme="minorHAnsi"/>
                <w:sz w:val="20"/>
                <w:szCs w:val="20"/>
              </w:rPr>
              <w:t>227</w:t>
            </w:r>
          </w:p>
        </w:tc>
      </w:tr>
      <w:tr w:rsidR="004B287E" w:rsidRPr="004B287E" w:rsidTr="00243EB1">
        <w:trPr>
          <w:jc w:val="center"/>
        </w:trPr>
        <w:tc>
          <w:tcPr>
            <w:tcW w:w="1475" w:type="dxa"/>
          </w:tcPr>
          <w:p w:rsidR="00FA7216" w:rsidRPr="004B287E" w:rsidRDefault="00FA7216" w:rsidP="001555CD">
            <w:pPr>
              <w:jc w:val="right"/>
              <w:rPr>
                <w:rFonts w:cstheme="minorHAnsi"/>
                <w:sz w:val="20"/>
                <w:szCs w:val="20"/>
              </w:rPr>
            </w:pPr>
            <w:r w:rsidRPr="004B287E">
              <w:rPr>
                <w:rFonts w:cstheme="minorHAnsi"/>
                <w:sz w:val="20"/>
                <w:szCs w:val="20"/>
              </w:rPr>
              <w:t>2014</w:t>
            </w:r>
          </w:p>
        </w:tc>
        <w:tc>
          <w:tcPr>
            <w:tcW w:w="1964" w:type="dxa"/>
          </w:tcPr>
          <w:p w:rsidR="00FA7216" w:rsidRPr="004B287E" w:rsidRDefault="00FA7216" w:rsidP="009A39B8">
            <w:pPr>
              <w:jc w:val="right"/>
              <w:rPr>
                <w:rFonts w:cstheme="minorHAnsi"/>
                <w:sz w:val="20"/>
                <w:szCs w:val="20"/>
              </w:rPr>
            </w:pPr>
            <w:r w:rsidRPr="004B287E">
              <w:rPr>
                <w:rFonts w:cstheme="minorHAnsi"/>
                <w:sz w:val="20"/>
                <w:szCs w:val="20"/>
              </w:rPr>
              <w:t>0</w:t>
            </w:r>
          </w:p>
        </w:tc>
        <w:tc>
          <w:tcPr>
            <w:tcW w:w="2020" w:type="dxa"/>
          </w:tcPr>
          <w:p w:rsidR="00FA7216" w:rsidRPr="004B287E" w:rsidRDefault="00FA7216" w:rsidP="001555CD">
            <w:pPr>
              <w:jc w:val="right"/>
              <w:rPr>
                <w:rFonts w:cstheme="minorHAnsi"/>
                <w:sz w:val="20"/>
                <w:szCs w:val="20"/>
              </w:rPr>
            </w:pPr>
            <w:r w:rsidRPr="004B287E">
              <w:rPr>
                <w:rFonts w:cstheme="minorHAnsi"/>
                <w:sz w:val="20"/>
                <w:szCs w:val="20"/>
              </w:rPr>
              <w:t>230</w:t>
            </w:r>
          </w:p>
        </w:tc>
      </w:tr>
      <w:tr w:rsidR="004B287E" w:rsidRPr="004B287E" w:rsidTr="00243EB1">
        <w:trPr>
          <w:jc w:val="center"/>
        </w:trPr>
        <w:tc>
          <w:tcPr>
            <w:tcW w:w="1475" w:type="dxa"/>
          </w:tcPr>
          <w:p w:rsidR="00FA7216" w:rsidRPr="004B287E" w:rsidRDefault="00FA7216" w:rsidP="001555CD">
            <w:pPr>
              <w:jc w:val="right"/>
              <w:rPr>
                <w:rFonts w:cstheme="minorHAnsi"/>
                <w:sz w:val="20"/>
                <w:szCs w:val="20"/>
              </w:rPr>
            </w:pPr>
            <w:r w:rsidRPr="004B287E">
              <w:rPr>
                <w:rFonts w:cstheme="minorHAnsi"/>
                <w:sz w:val="20"/>
                <w:szCs w:val="20"/>
              </w:rPr>
              <w:t>2015</w:t>
            </w:r>
          </w:p>
        </w:tc>
        <w:tc>
          <w:tcPr>
            <w:tcW w:w="1964" w:type="dxa"/>
          </w:tcPr>
          <w:p w:rsidR="00FA7216" w:rsidRPr="004B287E" w:rsidRDefault="00FA7216" w:rsidP="009A39B8">
            <w:pPr>
              <w:jc w:val="right"/>
              <w:rPr>
                <w:rFonts w:cstheme="minorHAnsi"/>
                <w:sz w:val="20"/>
                <w:szCs w:val="20"/>
              </w:rPr>
            </w:pPr>
            <w:r w:rsidRPr="004B287E">
              <w:rPr>
                <w:rFonts w:cstheme="minorHAnsi"/>
                <w:sz w:val="20"/>
                <w:szCs w:val="20"/>
              </w:rPr>
              <w:t>0</w:t>
            </w:r>
          </w:p>
        </w:tc>
        <w:tc>
          <w:tcPr>
            <w:tcW w:w="2020" w:type="dxa"/>
          </w:tcPr>
          <w:p w:rsidR="00FA7216" w:rsidRPr="004B287E" w:rsidRDefault="00FA7216" w:rsidP="001555CD">
            <w:pPr>
              <w:jc w:val="right"/>
              <w:rPr>
                <w:rFonts w:cstheme="minorHAnsi"/>
                <w:sz w:val="20"/>
                <w:szCs w:val="20"/>
              </w:rPr>
            </w:pPr>
            <w:r w:rsidRPr="004B287E">
              <w:rPr>
                <w:rFonts w:cstheme="minorHAnsi"/>
                <w:sz w:val="20"/>
                <w:szCs w:val="20"/>
              </w:rPr>
              <w:t>264</w:t>
            </w:r>
          </w:p>
        </w:tc>
      </w:tr>
      <w:tr w:rsidR="004B287E" w:rsidRPr="004B287E" w:rsidTr="00243EB1">
        <w:trPr>
          <w:jc w:val="center"/>
        </w:trPr>
        <w:tc>
          <w:tcPr>
            <w:tcW w:w="1475" w:type="dxa"/>
          </w:tcPr>
          <w:p w:rsidR="00FA7216" w:rsidRPr="004B287E" w:rsidRDefault="00FA7216" w:rsidP="001555CD">
            <w:pPr>
              <w:jc w:val="right"/>
              <w:rPr>
                <w:rFonts w:cstheme="minorHAnsi"/>
                <w:sz w:val="20"/>
                <w:szCs w:val="20"/>
              </w:rPr>
            </w:pPr>
            <w:r w:rsidRPr="004B287E">
              <w:rPr>
                <w:rFonts w:cstheme="minorHAnsi"/>
                <w:sz w:val="20"/>
                <w:szCs w:val="20"/>
              </w:rPr>
              <w:t>2016</w:t>
            </w:r>
          </w:p>
        </w:tc>
        <w:tc>
          <w:tcPr>
            <w:tcW w:w="1964" w:type="dxa"/>
          </w:tcPr>
          <w:p w:rsidR="00FA7216" w:rsidRPr="004B287E" w:rsidRDefault="00FA7216" w:rsidP="009A39B8">
            <w:pPr>
              <w:jc w:val="right"/>
              <w:rPr>
                <w:rFonts w:cstheme="minorHAnsi"/>
                <w:sz w:val="20"/>
                <w:szCs w:val="20"/>
              </w:rPr>
            </w:pPr>
            <w:r w:rsidRPr="004B287E">
              <w:rPr>
                <w:rFonts w:cstheme="minorHAnsi"/>
                <w:sz w:val="20"/>
                <w:szCs w:val="20"/>
              </w:rPr>
              <w:t>0</w:t>
            </w:r>
          </w:p>
        </w:tc>
        <w:tc>
          <w:tcPr>
            <w:tcW w:w="2020" w:type="dxa"/>
          </w:tcPr>
          <w:p w:rsidR="00FA7216" w:rsidRPr="004B287E" w:rsidRDefault="00FA7216" w:rsidP="001555CD">
            <w:pPr>
              <w:jc w:val="right"/>
              <w:rPr>
                <w:rFonts w:cstheme="minorHAnsi"/>
                <w:sz w:val="20"/>
                <w:szCs w:val="20"/>
              </w:rPr>
            </w:pPr>
            <w:r w:rsidRPr="004B287E">
              <w:rPr>
                <w:rFonts w:cstheme="minorHAnsi"/>
                <w:sz w:val="20"/>
                <w:szCs w:val="20"/>
              </w:rPr>
              <w:t>314</w:t>
            </w:r>
          </w:p>
        </w:tc>
      </w:tr>
      <w:tr w:rsidR="004B287E" w:rsidRPr="004B287E" w:rsidTr="00243EB1">
        <w:trPr>
          <w:jc w:val="center"/>
        </w:trPr>
        <w:tc>
          <w:tcPr>
            <w:tcW w:w="1475" w:type="dxa"/>
          </w:tcPr>
          <w:p w:rsidR="00FA7216" w:rsidRPr="004B287E" w:rsidRDefault="00FA7216" w:rsidP="001555CD">
            <w:pPr>
              <w:jc w:val="right"/>
              <w:rPr>
                <w:rFonts w:cstheme="minorHAnsi"/>
                <w:sz w:val="20"/>
                <w:szCs w:val="20"/>
              </w:rPr>
            </w:pPr>
            <w:r w:rsidRPr="004B287E">
              <w:rPr>
                <w:rFonts w:cstheme="minorHAnsi"/>
                <w:sz w:val="20"/>
                <w:szCs w:val="20"/>
              </w:rPr>
              <w:t>2017</w:t>
            </w:r>
          </w:p>
        </w:tc>
        <w:tc>
          <w:tcPr>
            <w:tcW w:w="1964" w:type="dxa"/>
          </w:tcPr>
          <w:p w:rsidR="00FA7216" w:rsidRPr="004B287E" w:rsidRDefault="00FA7216" w:rsidP="009A39B8">
            <w:pPr>
              <w:jc w:val="right"/>
              <w:rPr>
                <w:rFonts w:cstheme="minorHAnsi"/>
                <w:sz w:val="20"/>
                <w:szCs w:val="20"/>
              </w:rPr>
            </w:pPr>
            <w:r w:rsidRPr="004B287E">
              <w:rPr>
                <w:rFonts w:cstheme="minorHAnsi"/>
                <w:sz w:val="20"/>
                <w:szCs w:val="20"/>
              </w:rPr>
              <w:t>0</w:t>
            </w:r>
          </w:p>
        </w:tc>
        <w:tc>
          <w:tcPr>
            <w:tcW w:w="2020" w:type="dxa"/>
          </w:tcPr>
          <w:p w:rsidR="00FA7216" w:rsidRPr="004B287E" w:rsidRDefault="00FA7216" w:rsidP="001555CD">
            <w:pPr>
              <w:jc w:val="right"/>
              <w:rPr>
                <w:rFonts w:cstheme="minorHAnsi"/>
                <w:sz w:val="20"/>
                <w:szCs w:val="20"/>
              </w:rPr>
            </w:pPr>
            <w:r w:rsidRPr="004B287E">
              <w:rPr>
                <w:rFonts w:cstheme="minorHAnsi"/>
                <w:sz w:val="20"/>
                <w:szCs w:val="20"/>
              </w:rPr>
              <w:t>284</w:t>
            </w:r>
          </w:p>
        </w:tc>
      </w:tr>
      <w:tr w:rsidR="004B287E" w:rsidRPr="004B287E" w:rsidTr="00243EB1">
        <w:trPr>
          <w:jc w:val="center"/>
        </w:trPr>
        <w:tc>
          <w:tcPr>
            <w:tcW w:w="1475" w:type="dxa"/>
          </w:tcPr>
          <w:p w:rsidR="00FA7216" w:rsidRPr="004B287E" w:rsidRDefault="00FA7216" w:rsidP="001555CD">
            <w:pPr>
              <w:rPr>
                <w:rFonts w:cstheme="minorHAnsi"/>
                <w:b/>
                <w:sz w:val="20"/>
                <w:szCs w:val="20"/>
              </w:rPr>
            </w:pPr>
            <w:r w:rsidRPr="004B287E">
              <w:rPr>
                <w:rFonts w:cstheme="minorHAnsi"/>
                <w:b/>
                <w:sz w:val="20"/>
                <w:szCs w:val="20"/>
              </w:rPr>
              <w:t>TOPLAM</w:t>
            </w:r>
          </w:p>
        </w:tc>
        <w:tc>
          <w:tcPr>
            <w:tcW w:w="1964" w:type="dxa"/>
          </w:tcPr>
          <w:p w:rsidR="00FA7216" w:rsidRPr="004B287E" w:rsidRDefault="00FA7216" w:rsidP="009A39B8">
            <w:pPr>
              <w:jc w:val="right"/>
              <w:rPr>
                <w:rFonts w:cstheme="minorHAnsi"/>
                <w:b/>
                <w:sz w:val="20"/>
                <w:szCs w:val="20"/>
              </w:rPr>
            </w:pPr>
            <w:r w:rsidRPr="004B287E">
              <w:rPr>
                <w:rFonts w:cstheme="minorHAnsi"/>
                <w:b/>
                <w:sz w:val="20"/>
                <w:szCs w:val="20"/>
              </w:rPr>
              <w:t>0</w:t>
            </w:r>
          </w:p>
        </w:tc>
        <w:tc>
          <w:tcPr>
            <w:tcW w:w="2020" w:type="dxa"/>
            <w:vAlign w:val="bottom"/>
          </w:tcPr>
          <w:p w:rsidR="00FA7216" w:rsidRPr="004B287E" w:rsidRDefault="00FA7216" w:rsidP="001555CD">
            <w:pPr>
              <w:jc w:val="right"/>
              <w:rPr>
                <w:rFonts w:cstheme="minorHAnsi"/>
                <w:b/>
                <w:sz w:val="20"/>
                <w:szCs w:val="20"/>
              </w:rPr>
            </w:pPr>
            <w:r w:rsidRPr="004B287E">
              <w:rPr>
                <w:rFonts w:cstheme="minorHAnsi"/>
                <w:b/>
                <w:sz w:val="20"/>
                <w:szCs w:val="20"/>
              </w:rPr>
              <w:t>1.319</w:t>
            </w:r>
          </w:p>
        </w:tc>
      </w:tr>
      <w:tr w:rsidR="004B287E" w:rsidRPr="004B287E" w:rsidTr="00243EB1">
        <w:trPr>
          <w:jc w:val="center"/>
        </w:trPr>
        <w:tc>
          <w:tcPr>
            <w:tcW w:w="1475" w:type="dxa"/>
          </w:tcPr>
          <w:p w:rsidR="008B685D" w:rsidRPr="004B287E" w:rsidRDefault="008B685D" w:rsidP="001555CD">
            <w:pPr>
              <w:rPr>
                <w:rFonts w:cstheme="minorHAnsi"/>
                <w:i/>
                <w:sz w:val="20"/>
                <w:szCs w:val="20"/>
              </w:rPr>
            </w:pPr>
            <w:r w:rsidRPr="004B287E">
              <w:rPr>
                <w:rFonts w:cstheme="minorHAnsi"/>
                <w:i/>
                <w:sz w:val="20"/>
                <w:szCs w:val="20"/>
              </w:rPr>
              <w:t>Yıllık Ortalama</w:t>
            </w:r>
          </w:p>
        </w:tc>
        <w:tc>
          <w:tcPr>
            <w:tcW w:w="1964" w:type="dxa"/>
          </w:tcPr>
          <w:p w:rsidR="008B685D" w:rsidRPr="004B287E" w:rsidRDefault="008B685D" w:rsidP="009A39B8">
            <w:pPr>
              <w:jc w:val="right"/>
              <w:rPr>
                <w:rFonts w:cstheme="minorHAnsi"/>
                <w:i/>
                <w:sz w:val="20"/>
                <w:szCs w:val="20"/>
              </w:rPr>
            </w:pPr>
            <w:r w:rsidRPr="004B287E">
              <w:rPr>
                <w:rFonts w:cstheme="minorHAnsi"/>
                <w:i/>
                <w:sz w:val="20"/>
                <w:szCs w:val="20"/>
              </w:rPr>
              <w:t>0</w:t>
            </w:r>
          </w:p>
        </w:tc>
        <w:tc>
          <w:tcPr>
            <w:tcW w:w="2020" w:type="dxa"/>
            <w:vAlign w:val="bottom"/>
          </w:tcPr>
          <w:p w:rsidR="008B685D" w:rsidRPr="004B287E" w:rsidRDefault="008B685D" w:rsidP="001555CD">
            <w:pPr>
              <w:jc w:val="right"/>
              <w:rPr>
                <w:rFonts w:cstheme="minorHAnsi"/>
                <w:i/>
                <w:sz w:val="20"/>
                <w:szCs w:val="20"/>
              </w:rPr>
            </w:pPr>
            <w:r w:rsidRPr="004B287E">
              <w:rPr>
                <w:rFonts w:cstheme="minorHAnsi"/>
                <w:i/>
                <w:sz w:val="20"/>
                <w:szCs w:val="20"/>
              </w:rPr>
              <w:t>263,8</w:t>
            </w:r>
          </w:p>
        </w:tc>
      </w:tr>
    </w:tbl>
    <w:p w:rsidR="007B7648" w:rsidRPr="004B287E" w:rsidRDefault="007B7648" w:rsidP="001555CD">
      <w:pPr>
        <w:jc w:val="center"/>
        <w:rPr>
          <w:i/>
        </w:rPr>
      </w:pPr>
      <w:r w:rsidRPr="004B287E">
        <w:rPr>
          <w:b/>
          <w:i/>
        </w:rPr>
        <w:t>Kaynak</w:t>
      </w:r>
      <w:r w:rsidRPr="004B287E">
        <w:rPr>
          <w:i/>
        </w:rPr>
        <w:t>: SGK 2013, 2014, 2015, 2016, 2017</w:t>
      </w:r>
    </w:p>
    <w:p w:rsidR="00CD7E84" w:rsidRPr="004B287E" w:rsidRDefault="008B685D" w:rsidP="00AE750A">
      <w:pPr>
        <w:ind w:firstLine="567"/>
        <w:jc w:val="both"/>
      </w:pPr>
      <w:r w:rsidRPr="004B287E">
        <w:t xml:space="preserve">Son 5 yılda (2013-2017) ölüm geliri bağlanan meslek hastalığı dosyası sayısı 1.319 kişidir. Yılda ortalama 263 kişinin ailelerine meslek hastalığı nedeniyle ölüm geliri bağlanmaktadır. </w:t>
      </w:r>
      <w:r w:rsidR="00CD7E84" w:rsidRPr="004B287E">
        <w:t>SGK verilerinden meslek hastalığı sonucu ölenler için 2017 yılı içinde gelir bağlanan 284 dosya</w:t>
      </w:r>
      <w:r w:rsidR="007B7648" w:rsidRPr="004B287E">
        <w:t xml:space="preserve"> olduğu;</w:t>
      </w:r>
      <w:r w:rsidR="00CD7E84" w:rsidRPr="004B287E">
        <w:t xml:space="preserve">  "2017 yılı içinde meslek hastalığı sonucu ölenler" için</w:t>
      </w:r>
      <w:r w:rsidR="00023562" w:rsidRPr="004B287E">
        <w:t>,</w:t>
      </w:r>
      <w:r w:rsidR="00CD7E84" w:rsidRPr="004B287E">
        <w:t xml:space="preserve"> 157'si </w:t>
      </w:r>
      <w:r w:rsidR="00023562" w:rsidRPr="004B287E">
        <w:t xml:space="preserve">ölen kişinin </w:t>
      </w:r>
      <w:r w:rsidR="00CD7E84" w:rsidRPr="004B287E">
        <w:t>eş</w:t>
      </w:r>
      <w:r w:rsidR="00023562" w:rsidRPr="004B287E">
        <w:t>i</w:t>
      </w:r>
      <w:r w:rsidR="00CD7E84" w:rsidRPr="004B287E">
        <w:t xml:space="preserve"> olmak üzere</w:t>
      </w:r>
      <w:r w:rsidR="00023562" w:rsidRPr="004B287E">
        <w:t>,</w:t>
      </w:r>
      <w:r w:rsidR="00CD7E84" w:rsidRPr="004B287E">
        <w:t xml:space="preserve"> toplam 197 kişiye hak sahibi olarak ölüm geliri bağlan</w:t>
      </w:r>
      <w:r w:rsidR="007B7648" w:rsidRPr="004B287E">
        <w:t>dığı görülmektedir</w:t>
      </w:r>
      <w:r w:rsidR="00CD7E84" w:rsidRPr="004B287E">
        <w:t>. Geçmiş yıllarda meslek hastalığı sonucu ölenler</w:t>
      </w:r>
      <w:r w:rsidR="00023562" w:rsidRPr="004B287E">
        <w:t>den dolayı</w:t>
      </w:r>
      <w:r w:rsidR="00CD7E84" w:rsidRPr="004B287E">
        <w:t xml:space="preserve"> ise</w:t>
      </w:r>
      <w:r w:rsidR="00023562" w:rsidRPr="004B287E">
        <w:t>,</w:t>
      </w:r>
      <w:r w:rsidR="00CD7E84" w:rsidRPr="004B287E">
        <w:t xml:space="preserve"> 61'i </w:t>
      </w:r>
      <w:r w:rsidR="00023562" w:rsidRPr="004B287E">
        <w:t xml:space="preserve">ölen kişinin </w:t>
      </w:r>
      <w:r w:rsidR="00CD7E84" w:rsidRPr="004B287E">
        <w:t>eşi olmak üzere</w:t>
      </w:r>
      <w:r w:rsidR="00023562" w:rsidRPr="004B287E">
        <w:t>,</w:t>
      </w:r>
      <w:r w:rsidR="00CD7E84" w:rsidRPr="004B287E">
        <w:t xml:space="preserve"> 159 </w:t>
      </w:r>
      <w:r w:rsidR="00023562" w:rsidRPr="004B287E">
        <w:t>hak sahibine</w:t>
      </w:r>
      <w:r w:rsidR="00CD7E84" w:rsidRPr="004B287E">
        <w:t xml:space="preserve"> ölüm geliri bağlanmıştır. </w:t>
      </w:r>
    </w:p>
    <w:p w:rsidR="00A91BD3" w:rsidRDefault="00A91BD3">
      <w:pPr>
        <w:rPr>
          <w:b/>
        </w:rPr>
      </w:pPr>
      <w:r>
        <w:rPr>
          <w:b/>
        </w:rPr>
        <w:br w:type="page"/>
      </w:r>
    </w:p>
    <w:p w:rsidR="002614AF" w:rsidRPr="004B287E" w:rsidRDefault="002614AF" w:rsidP="005B16D0">
      <w:pPr>
        <w:spacing w:before="120" w:after="120" w:line="240" w:lineRule="auto"/>
        <w:jc w:val="center"/>
      </w:pPr>
      <w:r w:rsidRPr="004B287E">
        <w:rPr>
          <w:b/>
        </w:rPr>
        <w:lastRenderedPageBreak/>
        <w:t>Tablo-</w:t>
      </w:r>
      <w:r w:rsidR="00C54F58" w:rsidRPr="004B287E">
        <w:rPr>
          <w:b/>
        </w:rPr>
        <w:t>10</w:t>
      </w:r>
      <w:r w:rsidRPr="004B287E">
        <w:rPr>
          <w:b/>
        </w:rPr>
        <w:t xml:space="preserve">: </w:t>
      </w:r>
      <w:r w:rsidRPr="004B287E">
        <w:t>Meslek Hastalığı Sonucu Ölenlerin Yıl İçinde Ölüm Geliri Bağlanan Dosya Sayısı, 2013-2017</w:t>
      </w:r>
    </w:p>
    <w:tbl>
      <w:tblPr>
        <w:tblStyle w:val="TabloKlavuzu"/>
        <w:tblW w:w="0" w:type="auto"/>
        <w:jc w:val="center"/>
        <w:tblInd w:w="108" w:type="dxa"/>
        <w:tblLook w:val="04A0"/>
      </w:tblPr>
      <w:tblGrid>
        <w:gridCol w:w="1274"/>
        <w:gridCol w:w="994"/>
        <w:gridCol w:w="993"/>
        <w:gridCol w:w="993"/>
        <w:gridCol w:w="1134"/>
        <w:gridCol w:w="993"/>
        <w:gridCol w:w="1134"/>
        <w:gridCol w:w="1242"/>
      </w:tblGrid>
      <w:tr w:rsidR="008B1328" w:rsidRPr="004B287E" w:rsidTr="008B1328">
        <w:trPr>
          <w:jc w:val="center"/>
        </w:trPr>
        <w:tc>
          <w:tcPr>
            <w:tcW w:w="1274" w:type="dxa"/>
            <w:vAlign w:val="center"/>
          </w:tcPr>
          <w:p w:rsidR="008B1328" w:rsidRPr="004B287E" w:rsidRDefault="008B1328" w:rsidP="008B1328">
            <w:pPr>
              <w:pStyle w:val="Default"/>
              <w:spacing w:before="40" w:after="40"/>
              <w:jc w:val="center"/>
              <w:rPr>
                <w:color w:val="auto"/>
                <w:sz w:val="20"/>
                <w:szCs w:val="20"/>
              </w:rPr>
            </w:pPr>
            <w:r w:rsidRPr="004B287E">
              <w:rPr>
                <w:b/>
                <w:bCs/>
                <w:color w:val="auto"/>
                <w:sz w:val="20"/>
                <w:szCs w:val="20"/>
              </w:rPr>
              <w:t>Yıl</w:t>
            </w:r>
          </w:p>
        </w:tc>
        <w:tc>
          <w:tcPr>
            <w:tcW w:w="994" w:type="dxa"/>
            <w:vAlign w:val="center"/>
          </w:tcPr>
          <w:p w:rsidR="008B1328" w:rsidRPr="004B287E" w:rsidRDefault="008B1328" w:rsidP="008B1328">
            <w:pPr>
              <w:pStyle w:val="Default"/>
              <w:spacing w:before="40" w:after="40"/>
              <w:jc w:val="center"/>
              <w:rPr>
                <w:b/>
                <w:color w:val="auto"/>
                <w:sz w:val="20"/>
                <w:szCs w:val="20"/>
              </w:rPr>
            </w:pPr>
            <w:r w:rsidRPr="004B287E">
              <w:rPr>
                <w:b/>
                <w:color w:val="auto"/>
                <w:sz w:val="20"/>
                <w:szCs w:val="20"/>
              </w:rPr>
              <w:t>2013</w:t>
            </w:r>
          </w:p>
        </w:tc>
        <w:tc>
          <w:tcPr>
            <w:tcW w:w="993" w:type="dxa"/>
            <w:tcBorders>
              <w:right w:val="single" w:sz="8" w:space="0" w:color="auto"/>
            </w:tcBorders>
            <w:vAlign w:val="center"/>
          </w:tcPr>
          <w:p w:rsidR="008B1328" w:rsidRPr="004B287E" w:rsidRDefault="008B1328" w:rsidP="008B1328">
            <w:pPr>
              <w:pStyle w:val="Default"/>
              <w:spacing w:before="40" w:after="40"/>
              <w:jc w:val="center"/>
              <w:rPr>
                <w:b/>
                <w:color w:val="auto"/>
                <w:sz w:val="20"/>
                <w:szCs w:val="20"/>
              </w:rPr>
            </w:pPr>
            <w:r w:rsidRPr="004B287E">
              <w:rPr>
                <w:b/>
                <w:color w:val="auto"/>
                <w:sz w:val="20"/>
                <w:szCs w:val="20"/>
              </w:rPr>
              <w:t>2014</w:t>
            </w:r>
          </w:p>
        </w:tc>
        <w:tc>
          <w:tcPr>
            <w:tcW w:w="993" w:type="dxa"/>
            <w:tcBorders>
              <w:left w:val="single" w:sz="8" w:space="0" w:color="auto"/>
            </w:tcBorders>
            <w:vAlign w:val="center"/>
          </w:tcPr>
          <w:p w:rsidR="008B1328" w:rsidRPr="004B287E" w:rsidRDefault="008B1328" w:rsidP="008B1328">
            <w:pPr>
              <w:pStyle w:val="Default"/>
              <w:spacing w:before="40" w:after="40"/>
              <w:jc w:val="center"/>
              <w:rPr>
                <w:b/>
                <w:color w:val="auto"/>
                <w:sz w:val="20"/>
                <w:szCs w:val="20"/>
              </w:rPr>
            </w:pPr>
            <w:r w:rsidRPr="004B287E">
              <w:rPr>
                <w:b/>
                <w:color w:val="auto"/>
                <w:sz w:val="20"/>
                <w:szCs w:val="20"/>
              </w:rPr>
              <w:t>2015</w:t>
            </w:r>
          </w:p>
        </w:tc>
        <w:tc>
          <w:tcPr>
            <w:tcW w:w="1134" w:type="dxa"/>
            <w:tcBorders>
              <w:right w:val="single" w:sz="8" w:space="0" w:color="auto"/>
            </w:tcBorders>
            <w:vAlign w:val="center"/>
          </w:tcPr>
          <w:p w:rsidR="008B1328" w:rsidRPr="004B287E" w:rsidRDefault="008B1328" w:rsidP="008B1328">
            <w:pPr>
              <w:pStyle w:val="Default"/>
              <w:spacing w:before="40" w:after="40"/>
              <w:jc w:val="center"/>
              <w:rPr>
                <w:b/>
                <w:color w:val="auto"/>
                <w:sz w:val="20"/>
                <w:szCs w:val="20"/>
              </w:rPr>
            </w:pPr>
            <w:r w:rsidRPr="004B287E">
              <w:rPr>
                <w:b/>
                <w:color w:val="auto"/>
                <w:sz w:val="20"/>
                <w:szCs w:val="20"/>
              </w:rPr>
              <w:t>2016</w:t>
            </w:r>
          </w:p>
        </w:tc>
        <w:tc>
          <w:tcPr>
            <w:tcW w:w="993" w:type="dxa"/>
            <w:tcBorders>
              <w:left w:val="single" w:sz="8" w:space="0" w:color="auto"/>
            </w:tcBorders>
            <w:vAlign w:val="center"/>
          </w:tcPr>
          <w:p w:rsidR="008B1328" w:rsidRPr="004B287E" w:rsidRDefault="008B1328" w:rsidP="008B1328">
            <w:pPr>
              <w:pStyle w:val="Default"/>
              <w:spacing w:before="40" w:after="40"/>
              <w:jc w:val="center"/>
              <w:rPr>
                <w:b/>
                <w:color w:val="auto"/>
                <w:sz w:val="20"/>
                <w:szCs w:val="20"/>
              </w:rPr>
            </w:pPr>
            <w:r w:rsidRPr="004B287E">
              <w:rPr>
                <w:b/>
                <w:color w:val="auto"/>
                <w:sz w:val="20"/>
                <w:szCs w:val="20"/>
              </w:rPr>
              <w:t>2017</w:t>
            </w:r>
          </w:p>
        </w:tc>
        <w:tc>
          <w:tcPr>
            <w:tcW w:w="1134" w:type="dxa"/>
            <w:tcBorders>
              <w:left w:val="single" w:sz="8" w:space="0" w:color="auto"/>
            </w:tcBorders>
            <w:vAlign w:val="center"/>
          </w:tcPr>
          <w:p w:rsidR="008B1328" w:rsidRPr="004B287E" w:rsidRDefault="008B1328" w:rsidP="008B1328">
            <w:pPr>
              <w:pStyle w:val="Default"/>
              <w:spacing w:before="40" w:after="40"/>
              <w:jc w:val="center"/>
              <w:rPr>
                <w:b/>
                <w:color w:val="auto"/>
                <w:sz w:val="20"/>
                <w:szCs w:val="20"/>
              </w:rPr>
            </w:pPr>
            <w:r w:rsidRPr="004B287E">
              <w:rPr>
                <w:b/>
                <w:color w:val="auto"/>
                <w:sz w:val="20"/>
                <w:szCs w:val="20"/>
              </w:rPr>
              <w:t>Toplam</w:t>
            </w:r>
          </w:p>
        </w:tc>
        <w:tc>
          <w:tcPr>
            <w:tcW w:w="1242" w:type="dxa"/>
            <w:tcBorders>
              <w:left w:val="single" w:sz="8" w:space="0" w:color="auto"/>
            </w:tcBorders>
          </w:tcPr>
          <w:p w:rsidR="008B1328" w:rsidRPr="004B287E" w:rsidRDefault="008B1328" w:rsidP="008B1328">
            <w:pPr>
              <w:pStyle w:val="Default"/>
              <w:spacing w:before="40" w:after="40"/>
              <w:jc w:val="center"/>
              <w:rPr>
                <w:b/>
                <w:color w:val="auto"/>
                <w:sz w:val="20"/>
                <w:szCs w:val="20"/>
              </w:rPr>
            </w:pPr>
            <w:r w:rsidRPr="004B287E">
              <w:rPr>
                <w:b/>
                <w:color w:val="auto"/>
                <w:sz w:val="20"/>
                <w:szCs w:val="20"/>
              </w:rPr>
              <w:t xml:space="preserve">% </w:t>
            </w:r>
          </w:p>
          <w:p w:rsidR="008B1328" w:rsidRPr="004B287E" w:rsidRDefault="008B1328" w:rsidP="008B1328">
            <w:pPr>
              <w:pStyle w:val="Default"/>
              <w:spacing w:before="40" w:after="40"/>
              <w:jc w:val="center"/>
              <w:rPr>
                <w:b/>
                <w:color w:val="auto"/>
                <w:sz w:val="20"/>
                <w:szCs w:val="20"/>
              </w:rPr>
            </w:pPr>
            <w:r w:rsidRPr="004B287E">
              <w:rPr>
                <w:b/>
                <w:color w:val="auto"/>
                <w:sz w:val="20"/>
                <w:szCs w:val="20"/>
              </w:rPr>
              <w:t>(2013-2017)</w:t>
            </w:r>
          </w:p>
        </w:tc>
      </w:tr>
      <w:tr w:rsidR="008B1328" w:rsidRPr="004B287E" w:rsidTr="008B1328">
        <w:trPr>
          <w:jc w:val="center"/>
        </w:trPr>
        <w:tc>
          <w:tcPr>
            <w:tcW w:w="1274" w:type="dxa"/>
          </w:tcPr>
          <w:p w:rsidR="008B1328" w:rsidRPr="004B287E" w:rsidRDefault="008B1328" w:rsidP="0008295E">
            <w:pPr>
              <w:pStyle w:val="Default"/>
              <w:rPr>
                <w:color w:val="auto"/>
                <w:sz w:val="20"/>
                <w:szCs w:val="20"/>
              </w:rPr>
            </w:pPr>
            <w:r w:rsidRPr="004B287E">
              <w:rPr>
                <w:color w:val="auto"/>
                <w:sz w:val="20"/>
                <w:szCs w:val="20"/>
              </w:rPr>
              <w:t>Zonguldak</w:t>
            </w:r>
          </w:p>
        </w:tc>
        <w:tc>
          <w:tcPr>
            <w:tcW w:w="994" w:type="dxa"/>
            <w:vAlign w:val="center"/>
          </w:tcPr>
          <w:p w:rsidR="008B1328" w:rsidRPr="004B287E" w:rsidRDefault="008B1328" w:rsidP="003616A0">
            <w:pPr>
              <w:jc w:val="right"/>
              <w:rPr>
                <w:rFonts w:ascii="Calibri" w:hAnsi="Calibri" w:cs="Calibri"/>
                <w:sz w:val="20"/>
                <w:szCs w:val="20"/>
              </w:rPr>
            </w:pPr>
            <w:r w:rsidRPr="004B287E">
              <w:rPr>
                <w:rFonts w:ascii="Calibri" w:hAnsi="Calibri" w:cs="Calibri"/>
                <w:sz w:val="20"/>
                <w:szCs w:val="20"/>
              </w:rPr>
              <w:t>168</w:t>
            </w:r>
          </w:p>
        </w:tc>
        <w:tc>
          <w:tcPr>
            <w:tcW w:w="993"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175</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159</w:t>
            </w:r>
          </w:p>
        </w:tc>
        <w:tc>
          <w:tcPr>
            <w:tcW w:w="1134"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228</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167</w:t>
            </w:r>
          </w:p>
        </w:tc>
        <w:tc>
          <w:tcPr>
            <w:tcW w:w="1134" w:type="dxa"/>
            <w:tcBorders>
              <w:left w:val="single" w:sz="8" w:space="0" w:color="auto"/>
            </w:tcBorders>
            <w:vAlign w:val="center"/>
          </w:tcPr>
          <w:p w:rsidR="008B1328" w:rsidRPr="004B287E" w:rsidRDefault="008B1328">
            <w:pPr>
              <w:jc w:val="right"/>
              <w:rPr>
                <w:rFonts w:ascii="Calibri" w:hAnsi="Calibri" w:cs="Calibri"/>
                <w:sz w:val="20"/>
                <w:szCs w:val="20"/>
              </w:rPr>
            </w:pPr>
            <w:r w:rsidRPr="004B287E">
              <w:rPr>
                <w:rFonts w:ascii="Calibri" w:hAnsi="Calibri" w:cs="Calibri"/>
                <w:sz w:val="20"/>
                <w:szCs w:val="20"/>
              </w:rPr>
              <w:t>897</w:t>
            </w:r>
          </w:p>
        </w:tc>
        <w:tc>
          <w:tcPr>
            <w:tcW w:w="1242" w:type="dxa"/>
            <w:tcBorders>
              <w:left w:val="single" w:sz="8" w:space="0" w:color="auto"/>
            </w:tcBorders>
            <w:vAlign w:val="bottom"/>
          </w:tcPr>
          <w:p w:rsidR="008B1328" w:rsidRPr="004B287E" w:rsidRDefault="008B1328" w:rsidP="008B1328">
            <w:pPr>
              <w:jc w:val="right"/>
              <w:rPr>
                <w:rFonts w:ascii="Calibri" w:hAnsi="Calibri" w:cs="Calibri"/>
              </w:rPr>
            </w:pPr>
            <w:r w:rsidRPr="004B287E">
              <w:rPr>
                <w:rFonts w:ascii="Calibri" w:hAnsi="Calibri" w:cs="Calibri"/>
              </w:rPr>
              <w:t>68,0</w:t>
            </w:r>
          </w:p>
        </w:tc>
      </w:tr>
      <w:tr w:rsidR="008B1328" w:rsidRPr="004B287E" w:rsidTr="008B1328">
        <w:trPr>
          <w:jc w:val="center"/>
        </w:trPr>
        <w:tc>
          <w:tcPr>
            <w:tcW w:w="1274" w:type="dxa"/>
          </w:tcPr>
          <w:p w:rsidR="008B1328" w:rsidRPr="004B287E" w:rsidRDefault="008B1328" w:rsidP="0008295E">
            <w:pPr>
              <w:pStyle w:val="Default"/>
              <w:rPr>
                <w:color w:val="auto"/>
                <w:sz w:val="20"/>
                <w:szCs w:val="20"/>
              </w:rPr>
            </w:pPr>
            <w:r w:rsidRPr="004B287E">
              <w:rPr>
                <w:color w:val="auto"/>
                <w:sz w:val="20"/>
                <w:szCs w:val="20"/>
              </w:rPr>
              <w:t>Bartın</w:t>
            </w:r>
          </w:p>
        </w:tc>
        <w:tc>
          <w:tcPr>
            <w:tcW w:w="994" w:type="dxa"/>
            <w:vAlign w:val="center"/>
          </w:tcPr>
          <w:p w:rsidR="008B1328" w:rsidRPr="004B287E" w:rsidRDefault="008B1328" w:rsidP="003616A0">
            <w:pPr>
              <w:jc w:val="right"/>
              <w:rPr>
                <w:rFonts w:ascii="Calibri" w:hAnsi="Calibri" w:cs="Calibri"/>
                <w:sz w:val="20"/>
                <w:szCs w:val="20"/>
              </w:rPr>
            </w:pPr>
            <w:r w:rsidRPr="004B287E">
              <w:rPr>
                <w:rFonts w:ascii="Calibri" w:hAnsi="Calibri" w:cs="Calibri"/>
                <w:sz w:val="20"/>
                <w:szCs w:val="20"/>
              </w:rPr>
              <w:t>0</w:t>
            </w:r>
          </w:p>
        </w:tc>
        <w:tc>
          <w:tcPr>
            <w:tcW w:w="993"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2</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0</w:t>
            </w:r>
          </w:p>
        </w:tc>
        <w:tc>
          <w:tcPr>
            <w:tcW w:w="1134"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1</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47</w:t>
            </w:r>
          </w:p>
        </w:tc>
        <w:tc>
          <w:tcPr>
            <w:tcW w:w="1134" w:type="dxa"/>
            <w:tcBorders>
              <w:left w:val="single" w:sz="8" w:space="0" w:color="auto"/>
            </w:tcBorders>
            <w:vAlign w:val="center"/>
          </w:tcPr>
          <w:p w:rsidR="008B1328" w:rsidRPr="004B287E" w:rsidRDefault="008B1328">
            <w:pPr>
              <w:jc w:val="right"/>
              <w:rPr>
                <w:rFonts w:ascii="Calibri" w:hAnsi="Calibri" w:cs="Calibri"/>
                <w:sz w:val="20"/>
                <w:szCs w:val="20"/>
              </w:rPr>
            </w:pPr>
            <w:r w:rsidRPr="004B287E">
              <w:rPr>
                <w:rFonts w:ascii="Calibri" w:hAnsi="Calibri" w:cs="Calibri"/>
                <w:sz w:val="20"/>
                <w:szCs w:val="20"/>
              </w:rPr>
              <w:t>50</w:t>
            </w:r>
          </w:p>
        </w:tc>
        <w:tc>
          <w:tcPr>
            <w:tcW w:w="1242" w:type="dxa"/>
            <w:tcBorders>
              <w:left w:val="single" w:sz="8" w:space="0" w:color="auto"/>
            </w:tcBorders>
            <w:vAlign w:val="bottom"/>
          </w:tcPr>
          <w:p w:rsidR="008B1328" w:rsidRPr="004B287E" w:rsidRDefault="008B1328" w:rsidP="008B1328">
            <w:pPr>
              <w:jc w:val="right"/>
              <w:rPr>
                <w:rFonts w:ascii="Calibri" w:hAnsi="Calibri" w:cs="Calibri"/>
              </w:rPr>
            </w:pPr>
            <w:r w:rsidRPr="004B287E">
              <w:rPr>
                <w:rFonts w:ascii="Calibri" w:hAnsi="Calibri" w:cs="Calibri"/>
              </w:rPr>
              <w:t>3,8</w:t>
            </w:r>
          </w:p>
        </w:tc>
      </w:tr>
      <w:tr w:rsidR="008B1328" w:rsidRPr="004B287E" w:rsidTr="008B1328">
        <w:trPr>
          <w:jc w:val="center"/>
        </w:trPr>
        <w:tc>
          <w:tcPr>
            <w:tcW w:w="1274" w:type="dxa"/>
          </w:tcPr>
          <w:p w:rsidR="008B1328" w:rsidRPr="004B287E" w:rsidRDefault="008B1328" w:rsidP="0008295E">
            <w:pPr>
              <w:pStyle w:val="Default"/>
              <w:rPr>
                <w:color w:val="auto"/>
                <w:sz w:val="20"/>
                <w:szCs w:val="20"/>
              </w:rPr>
            </w:pPr>
            <w:r w:rsidRPr="004B287E">
              <w:rPr>
                <w:color w:val="auto"/>
                <w:sz w:val="20"/>
                <w:szCs w:val="20"/>
              </w:rPr>
              <w:t>Karabük</w:t>
            </w:r>
          </w:p>
        </w:tc>
        <w:tc>
          <w:tcPr>
            <w:tcW w:w="994" w:type="dxa"/>
            <w:vAlign w:val="center"/>
          </w:tcPr>
          <w:p w:rsidR="008B1328" w:rsidRPr="004B287E" w:rsidRDefault="008B1328" w:rsidP="003616A0">
            <w:pPr>
              <w:jc w:val="right"/>
              <w:rPr>
                <w:rFonts w:ascii="Calibri" w:hAnsi="Calibri" w:cs="Calibri"/>
                <w:sz w:val="20"/>
                <w:szCs w:val="20"/>
              </w:rPr>
            </w:pPr>
            <w:r w:rsidRPr="004B287E">
              <w:rPr>
                <w:rFonts w:ascii="Calibri" w:hAnsi="Calibri" w:cs="Calibri"/>
                <w:sz w:val="20"/>
                <w:szCs w:val="20"/>
              </w:rPr>
              <w:t>0</w:t>
            </w:r>
          </w:p>
        </w:tc>
        <w:tc>
          <w:tcPr>
            <w:tcW w:w="993"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0</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0</w:t>
            </w:r>
          </w:p>
        </w:tc>
        <w:tc>
          <w:tcPr>
            <w:tcW w:w="1134"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0</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12</w:t>
            </w:r>
          </w:p>
        </w:tc>
        <w:tc>
          <w:tcPr>
            <w:tcW w:w="1134" w:type="dxa"/>
            <w:tcBorders>
              <w:left w:val="single" w:sz="8" w:space="0" w:color="auto"/>
            </w:tcBorders>
            <w:vAlign w:val="center"/>
          </w:tcPr>
          <w:p w:rsidR="008B1328" w:rsidRPr="004B287E" w:rsidRDefault="008B1328">
            <w:pPr>
              <w:jc w:val="right"/>
              <w:rPr>
                <w:rFonts w:ascii="Calibri" w:hAnsi="Calibri" w:cs="Calibri"/>
                <w:sz w:val="20"/>
                <w:szCs w:val="20"/>
              </w:rPr>
            </w:pPr>
            <w:r w:rsidRPr="004B287E">
              <w:rPr>
                <w:rFonts w:ascii="Calibri" w:hAnsi="Calibri" w:cs="Calibri"/>
                <w:sz w:val="20"/>
                <w:szCs w:val="20"/>
              </w:rPr>
              <w:t>12</w:t>
            </w:r>
          </w:p>
        </w:tc>
        <w:tc>
          <w:tcPr>
            <w:tcW w:w="1242" w:type="dxa"/>
            <w:tcBorders>
              <w:left w:val="single" w:sz="8" w:space="0" w:color="auto"/>
            </w:tcBorders>
            <w:vAlign w:val="bottom"/>
          </w:tcPr>
          <w:p w:rsidR="008B1328" w:rsidRPr="004B287E" w:rsidRDefault="008B1328" w:rsidP="008B1328">
            <w:pPr>
              <w:jc w:val="right"/>
              <w:rPr>
                <w:rFonts w:ascii="Calibri" w:hAnsi="Calibri" w:cs="Calibri"/>
              </w:rPr>
            </w:pPr>
            <w:r w:rsidRPr="004B287E">
              <w:rPr>
                <w:rFonts w:ascii="Calibri" w:hAnsi="Calibri" w:cs="Calibri"/>
              </w:rPr>
              <w:t>0,9</w:t>
            </w:r>
          </w:p>
        </w:tc>
      </w:tr>
      <w:tr w:rsidR="008B1328" w:rsidRPr="004B287E" w:rsidTr="008B1328">
        <w:trPr>
          <w:jc w:val="center"/>
        </w:trPr>
        <w:tc>
          <w:tcPr>
            <w:tcW w:w="1274" w:type="dxa"/>
          </w:tcPr>
          <w:p w:rsidR="008B1328" w:rsidRPr="004B287E" w:rsidRDefault="008B1328" w:rsidP="0008295E">
            <w:pPr>
              <w:pStyle w:val="Default"/>
              <w:rPr>
                <w:color w:val="auto"/>
                <w:sz w:val="20"/>
                <w:szCs w:val="20"/>
              </w:rPr>
            </w:pPr>
            <w:r w:rsidRPr="004B287E">
              <w:rPr>
                <w:color w:val="auto"/>
                <w:sz w:val="20"/>
                <w:szCs w:val="20"/>
              </w:rPr>
              <w:t>Manisa</w:t>
            </w:r>
          </w:p>
        </w:tc>
        <w:tc>
          <w:tcPr>
            <w:tcW w:w="994" w:type="dxa"/>
            <w:vAlign w:val="center"/>
          </w:tcPr>
          <w:p w:rsidR="008B1328" w:rsidRPr="004B287E" w:rsidRDefault="008B1328" w:rsidP="003616A0">
            <w:pPr>
              <w:jc w:val="right"/>
              <w:rPr>
                <w:rFonts w:ascii="Calibri" w:hAnsi="Calibri" w:cs="Calibri"/>
                <w:sz w:val="20"/>
                <w:szCs w:val="20"/>
              </w:rPr>
            </w:pPr>
            <w:r w:rsidRPr="004B287E">
              <w:rPr>
                <w:rFonts w:ascii="Calibri" w:hAnsi="Calibri" w:cs="Calibri"/>
                <w:sz w:val="20"/>
                <w:szCs w:val="20"/>
              </w:rPr>
              <w:t>0</w:t>
            </w:r>
          </w:p>
        </w:tc>
        <w:tc>
          <w:tcPr>
            <w:tcW w:w="993"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0</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0</w:t>
            </w:r>
          </w:p>
        </w:tc>
        <w:tc>
          <w:tcPr>
            <w:tcW w:w="1134"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0</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0</w:t>
            </w:r>
          </w:p>
        </w:tc>
        <w:tc>
          <w:tcPr>
            <w:tcW w:w="1134" w:type="dxa"/>
            <w:tcBorders>
              <w:left w:val="single" w:sz="8" w:space="0" w:color="auto"/>
            </w:tcBorders>
            <w:vAlign w:val="center"/>
          </w:tcPr>
          <w:p w:rsidR="008B1328" w:rsidRPr="004B287E" w:rsidRDefault="008B1328">
            <w:pPr>
              <w:jc w:val="right"/>
              <w:rPr>
                <w:rFonts w:ascii="Calibri" w:hAnsi="Calibri" w:cs="Calibri"/>
                <w:sz w:val="20"/>
                <w:szCs w:val="20"/>
              </w:rPr>
            </w:pPr>
            <w:r w:rsidRPr="004B287E">
              <w:rPr>
                <w:rFonts w:ascii="Calibri" w:hAnsi="Calibri" w:cs="Calibri"/>
                <w:sz w:val="20"/>
                <w:szCs w:val="20"/>
              </w:rPr>
              <w:t>0</w:t>
            </w:r>
          </w:p>
        </w:tc>
        <w:tc>
          <w:tcPr>
            <w:tcW w:w="1242" w:type="dxa"/>
            <w:tcBorders>
              <w:left w:val="single" w:sz="8" w:space="0" w:color="auto"/>
            </w:tcBorders>
            <w:vAlign w:val="bottom"/>
          </w:tcPr>
          <w:p w:rsidR="008B1328" w:rsidRPr="004B287E" w:rsidRDefault="008B1328" w:rsidP="008B1328">
            <w:pPr>
              <w:jc w:val="right"/>
              <w:rPr>
                <w:rFonts w:ascii="Calibri" w:hAnsi="Calibri" w:cs="Calibri"/>
              </w:rPr>
            </w:pPr>
            <w:r w:rsidRPr="004B287E">
              <w:rPr>
                <w:rFonts w:ascii="Calibri" w:hAnsi="Calibri" w:cs="Calibri"/>
              </w:rPr>
              <w:t>0,0</w:t>
            </w:r>
          </w:p>
        </w:tc>
      </w:tr>
      <w:tr w:rsidR="008B1328" w:rsidRPr="004B287E" w:rsidTr="008B1328">
        <w:trPr>
          <w:jc w:val="center"/>
        </w:trPr>
        <w:tc>
          <w:tcPr>
            <w:tcW w:w="1274" w:type="dxa"/>
          </w:tcPr>
          <w:p w:rsidR="008B1328" w:rsidRPr="004B287E" w:rsidRDefault="008B1328" w:rsidP="0008295E">
            <w:pPr>
              <w:pStyle w:val="Default"/>
              <w:rPr>
                <w:color w:val="auto"/>
                <w:sz w:val="20"/>
                <w:szCs w:val="20"/>
              </w:rPr>
            </w:pPr>
            <w:r w:rsidRPr="004B287E">
              <w:rPr>
                <w:color w:val="auto"/>
                <w:sz w:val="20"/>
                <w:szCs w:val="20"/>
              </w:rPr>
              <w:t>Ankara</w:t>
            </w:r>
          </w:p>
        </w:tc>
        <w:tc>
          <w:tcPr>
            <w:tcW w:w="994" w:type="dxa"/>
            <w:vAlign w:val="center"/>
          </w:tcPr>
          <w:p w:rsidR="008B1328" w:rsidRPr="004B287E" w:rsidRDefault="008B1328" w:rsidP="003616A0">
            <w:pPr>
              <w:jc w:val="right"/>
              <w:rPr>
                <w:rFonts w:ascii="Calibri" w:hAnsi="Calibri" w:cs="Calibri"/>
                <w:sz w:val="20"/>
                <w:szCs w:val="20"/>
              </w:rPr>
            </w:pPr>
            <w:r w:rsidRPr="004B287E">
              <w:rPr>
                <w:rFonts w:ascii="Calibri" w:hAnsi="Calibri" w:cs="Calibri"/>
                <w:sz w:val="20"/>
                <w:szCs w:val="20"/>
              </w:rPr>
              <w:t>37</w:t>
            </w:r>
          </w:p>
        </w:tc>
        <w:tc>
          <w:tcPr>
            <w:tcW w:w="993"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33</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74</w:t>
            </w:r>
          </w:p>
        </w:tc>
        <w:tc>
          <w:tcPr>
            <w:tcW w:w="1134"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53</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4</w:t>
            </w:r>
          </w:p>
        </w:tc>
        <w:tc>
          <w:tcPr>
            <w:tcW w:w="1134" w:type="dxa"/>
            <w:tcBorders>
              <w:left w:val="single" w:sz="8" w:space="0" w:color="auto"/>
            </w:tcBorders>
            <w:vAlign w:val="center"/>
          </w:tcPr>
          <w:p w:rsidR="008B1328" w:rsidRPr="004B287E" w:rsidRDefault="008B1328">
            <w:pPr>
              <w:jc w:val="right"/>
              <w:rPr>
                <w:rFonts w:ascii="Calibri" w:hAnsi="Calibri" w:cs="Calibri"/>
                <w:sz w:val="20"/>
                <w:szCs w:val="20"/>
              </w:rPr>
            </w:pPr>
            <w:r w:rsidRPr="004B287E">
              <w:rPr>
                <w:rFonts w:ascii="Calibri" w:hAnsi="Calibri" w:cs="Calibri"/>
                <w:sz w:val="20"/>
                <w:szCs w:val="20"/>
              </w:rPr>
              <w:t>201</w:t>
            </w:r>
          </w:p>
        </w:tc>
        <w:tc>
          <w:tcPr>
            <w:tcW w:w="1242" w:type="dxa"/>
            <w:tcBorders>
              <w:left w:val="single" w:sz="8" w:space="0" w:color="auto"/>
            </w:tcBorders>
            <w:vAlign w:val="bottom"/>
          </w:tcPr>
          <w:p w:rsidR="008B1328" w:rsidRPr="004B287E" w:rsidRDefault="008B1328" w:rsidP="008B1328">
            <w:pPr>
              <w:jc w:val="right"/>
              <w:rPr>
                <w:rFonts w:ascii="Calibri" w:hAnsi="Calibri" w:cs="Calibri"/>
              </w:rPr>
            </w:pPr>
            <w:r w:rsidRPr="004B287E">
              <w:rPr>
                <w:rFonts w:ascii="Calibri" w:hAnsi="Calibri" w:cs="Calibri"/>
              </w:rPr>
              <w:t>15,2</w:t>
            </w:r>
          </w:p>
        </w:tc>
      </w:tr>
      <w:tr w:rsidR="008B1328" w:rsidRPr="004B287E" w:rsidTr="008B1328">
        <w:trPr>
          <w:jc w:val="center"/>
        </w:trPr>
        <w:tc>
          <w:tcPr>
            <w:tcW w:w="1274" w:type="dxa"/>
          </w:tcPr>
          <w:p w:rsidR="008B1328" w:rsidRPr="004B287E" w:rsidRDefault="008B1328" w:rsidP="0008295E">
            <w:pPr>
              <w:pStyle w:val="Default"/>
              <w:rPr>
                <w:color w:val="auto"/>
                <w:sz w:val="20"/>
                <w:szCs w:val="20"/>
              </w:rPr>
            </w:pPr>
            <w:r w:rsidRPr="004B287E">
              <w:rPr>
                <w:color w:val="auto"/>
                <w:sz w:val="20"/>
                <w:szCs w:val="20"/>
              </w:rPr>
              <w:t>İstanbul</w:t>
            </w:r>
          </w:p>
        </w:tc>
        <w:tc>
          <w:tcPr>
            <w:tcW w:w="994" w:type="dxa"/>
            <w:vAlign w:val="center"/>
          </w:tcPr>
          <w:p w:rsidR="008B1328" w:rsidRPr="004B287E" w:rsidRDefault="008B1328" w:rsidP="003616A0">
            <w:pPr>
              <w:jc w:val="right"/>
              <w:rPr>
                <w:rFonts w:ascii="Calibri" w:hAnsi="Calibri" w:cs="Calibri"/>
                <w:sz w:val="20"/>
                <w:szCs w:val="20"/>
              </w:rPr>
            </w:pPr>
            <w:r w:rsidRPr="004B287E">
              <w:rPr>
                <w:rFonts w:ascii="Calibri" w:hAnsi="Calibri" w:cs="Calibri"/>
                <w:sz w:val="20"/>
                <w:szCs w:val="20"/>
              </w:rPr>
              <w:t>2</w:t>
            </w:r>
          </w:p>
        </w:tc>
        <w:tc>
          <w:tcPr>
            <w:tcW w:w="993"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11</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12</w:t>
            </w:r>
          </w:p>
        </w:tc>
        <w:tc>
          <w:tcPr>
            <w:tcW w:w="1134"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7</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12</w:t>
            </w:r>
          </w:p>
        </w:tc>
        <w:tc>
          <w:tcPr>
            <w:tcW w:w="1134" w:type="dxa"/>
            <w:tcBorders>
              <w:left w:val="single" w:sz="8" w:space="0" w:color="auto"/>
            </w:tcBorders>
            <w:vAlign w:val="center"/>
          </w:tcPr>
          <w:p w:rsidR="008B1328" w:rsidRPr="004B287E" w:rsidRDefault="008B1328">
            <w:pPr>
              <w:jc w:val="right"/>
              <w:rPr>
                <w:rFonts w:ascii="Calibri" w:hAnsi="Calibri" w:cs="Calibri"/>
                <w:sz w:val="20"/>
                <w:szCs w:val="20"/>
              </w:rPr>
            </w:pPr>
            <w:r w:rsidRPr="004B287E">
              <w:rPr>
                <w:rFonts w:ascii="Calibri" w:hAnsi="Calibri" w:cs="Calibri"/>
                <w:sz w:val="20"/>
                <w:szCs w:val="20"/>
              </w:rPr>
              <w:t>44</w:t>
            </w:r>
          </w:p>
        </w:tc>
        <w:tc>
          <w:tcPr>
            <w:tcW w:w="1242" w:type="dxa"/>
            <w:tcBorders>
              <w:left w:val="single" w:sz="8" w:space="0" w:color="auto"/>
            </w:tcBorders>
            <w:vAlign w:val="bottom"/>
          </w:tcPr>
          <w:p w:rsidR="008B1328" w:rsidRPr="004B287E" w:rsidRDefault="008B1328" w:rsidP="008B1328">
            <w:pPr>
              <w:jc w:val="right"/>
              <w:rPr>
                <w:rFonts w:ascii="Calibri" w:hAnsi="Calibri" w:cs="Calibri"/>
              </w:rPr>
            </w:pPr>
            <w:r w:rsidRPr="004B287E">
              <w:rPr>
                <w:rFonts w:ascii="Calibri" w:hAnsi="Calibri" w:cs="Calibri"/>
              </w:rPr>
              <w:t>3,3</w:t>
            </w:r>
          </w:p>
        </w:tc>
      </w:tr>
      <w:tr w:rsidR="008B1328" w:rsidRPr="004B287E" w:rsidTr="008B1328">
        <w:trPr>
          <w:jc w:val="center"/>
        </w:trPr>
        <w:tc>
          <w:tcPr>
            <w:tcW w:w="1274" w:type="dxa"/>
          </w:tcPr>
          <w:p w:rsidR="008B1328" w:rsidRPr="004B287E" w:rsidRDefault="008B1328" w:rsidP="0008295E">
            <w:pPr>
              <w:pStyle w:val="Default"/>
              <w:rPr>
                <w:color w:val="auto"/>
                <w:sz w:val="20"/>
                <w:szCs w:val="20"/>
              </w:rPr>
            </w:pPr>
            <w:r w:rsidRPr="004B287E">
              <w:rPr>
                <w:color w:val="auto"/>
                <w:sz w:val="20"/>
                <w:szCs w:val="20"/>
              </w:rPr>
              <w:t>Diğer İller</w:t>
            </w:r>
          </w:p>
        </w:tc>
        <w:tc>
          <w:tcPr>
            <w:tcW w:w="994" w:type="dxa"/>
            <w:vAlign w:val="center"/>
          </w:tcPr>
          <w:p w:rsidR="008B1328" w:rsidRPr="004B287E" w:rsidRDefault="008B1328" w:rsidP="003616A0">
            <w:pPr>
              <w:jc w:val="right"/>
              <w:rPr>
                <w:sz w:val="20"/>
                <w:szCs w:val="20"/>
              </w:rPr>
            </w:pPr>
            <w:r w:rsidRPr="004B287E">
              <w:rPr>
                <w:sz w:val="20"/>
                <w:szCs w:val="20"/>
              </w:rPr>
              <w:t>20</w:t>
            </w:r>
          </w:p>
        </w:tc>
        <w:tc>
          <w:tcPr>
            <w:tcW w:w="993"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9</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19</w:t>
            </w:r>
          </w:p>
        </w:tc>
        <w:tc>
          <w:tcPr>
            <w:tcW w:w="1134" w:type="dxa"/>
            <w:tcBorders>
              <w:right w:val="single" w:sz="8" w:space="0" w:color="auto"/>
            </w:tcBorders>
            <w:vAlign w:val="center"/>
          </w:tcPr>
          <w:p w:rsidR="008B1328" w:rsidRPr="004B287E" w:rsidRDefault="008B1328" w:rsidP="003616A0">
            <w:pPr>
              <w:jc w:val="right"/>
              <w:rPr>
                <w:sz w:val="20"/>
                <w:szCs w:val="20"/>
              </w:rPr>
            </w:pPr>
            <w:r w:rsidRPr="004B287E">
              <w:rPr>
                <w:sz w:val="20"/>
                <w:szCs w:val="20"/>
              </w:rPr>
              <w:t>25</w:t>
            </w:r>
          </w:p>
        </w:tc>
        <w:tc>
          <w:tcPr>
            <w:tcW w:w="993" w:type="dxa"/>
            <w:tcBorders>
              <w:left w:val="single" w:sz="8" w:space="0" w:color="auto"/>
            </w:tcBorders>
            <w:vAlign w:val="center"/>
          </w:tcPr>
          <w:p w:rsidR="008B1328" w:rsidRPr="004B287E" w:rsidRDefault="008B1328" w:rsidP="003616A0">
            <w:pPr>
              <w:jc w:val="right"/>
              <w:rPr>
                <w:sz w:val="20"/>
                <w:szCs w:val="20"/>
              </w:rPr>
            </w:pPr>
            <w:r w:rsidRPr="004B287E">
              <w:rPr>
                <w:sz w:val="20"/>
                <w:szCs w:val="20"/>
              </w:rPr>
              <w:t>42</w:t>
            </w:r>
          </w:p>
        </w:tc>
        <w:tc>
          <w:tcPr>
            <w:tcW w:w="1134" w:type="dxa"/>
            <w:tcBorders>
              <w:left w:val="single" w:sz="8" w:space="0" w:color="auto"/>
            </w:tcBorders>
            <w:vAlign w:val="center"/>
          </w:tcPr>
          <w:p w:rsidR="008B1328" w:rsidRPr="004B287E" w:rsidRDefault="008B1328">
            <w:pPr>
              <w:jc w:val="right"/>
              <w:rPr>
                <w:rFonts w:ascii="Calibri" w:hAnsi="Calibri" w:cs="Calibri"/>
                <w:sz w:val="20"/>
                <w:szCs w:val="20"/>
              </w:rPr>
            </w:pPr>
            <w:r w:rsidRPr="004B287E">
              <w:rPr>
                <w:rFonts w:ascii="Calibri" w:hAnsi="Calibri" w:cs="Calibri"/>
                <w:sz w:val="20"/>
                <w:szCs w:val="20"/>
              </w:rPr>
              <w:t>115</w:t>
            </w:r>
          </w:p>
        </w:tc>
        <w:tc>
          <w:tcPr>
            <w:tcW w:w="1242" w:type="dxa"/>
            <w:tcBorders>
              <w:left w:val="single" w:sz="8" w:space="0" w:color="auto"/>
            </w:tcBorders>
            <w:vAlign w:val="bottom"/>
          </w:tcPr>
          <w:p w:rsidR="008B1328" w:rsidRPr="004B287E" w:rsidRDefault="008B1328" w:rsidP="008B1328">
            <w:pPr>
              <w:jc w:val="right"/>
              <w:rPr>
                <w:rFonts w:ascii="Calibri" w:hAnsi="Calibri" w:cs="Calibri"/>
              </w:rPr>
            </w:pPr>
            <w:r w:rsidRPr="004B287E">
              <w:rPr>
                <w:rFonts w:ascii="Calibri" w:hAnsi="Calibri" w:cs="Calibri"/>
              </w:rPr>
              <w:t>8,7</w:t>
            </w:r>
          </w:p>
        </w:tc>
      </w:tr>
      <w:tr w:rsidR="008B1328" w:rsidRPr="004B287E" w:rsidTr="008B1328">
        <w:trPr>
          <w:jc w:val="center"/>
        </w:trPr>
        <w:tc>
          <w:tcPr>
            <w:tcW w:w="1274" w:type="dxa"/>
          </w:tcPr>
          <w:p w:rsidR="008B1328" w:rsidRPr="004B287E" w:rsidRDefault="008B1328" w:rsidP="0008295E">
            <w:pPr>
              <w:pStyle w:val="Default"/>
              <w:rPr>
                <w:b/>
                <w:color w:val="auto"/>
                <w:sz w:val="20"/>
                <w:szCs w:val="20"/>
              </w:rPr>
            </w:pPr>
            <w:r w:rsidRPr="004B287E">
              <w:rPr>
                <w:b/>
                <w:color w:val="auto"/>
                <w:sz w:val="20"/>
                <w:szCs w:val="20"/>
              </w:rPr>
              <w:t>Türkiye</w:t>
            </w:r>
          </w:p>
        </w:tc>
        <w:tc>
          <w:tcPr>
            <w:tcW w:w="994" w:type="dxa"/>
            <w:vAlign w:val="center"/>
          </w:tcPr>
          <w:p w:rsidR="008B1328" w:rsidRPr="004B287E" w:rsidRDefault="008B1328" w:rsidP="003616A0">
            <w:pPr>
              <w:jc w:val="right"/>
              <w:rPr>
                <w:rFonts w:ascii="Calibri" w:hAnsi="Calibri" w:cs="Calibri"/>
                <w:b/>
                <w:sz w:val="20"/>
                <w:szCs w:val="20"/>
              </w:rPr>
            </w:pPr>
            <w:r w:rsidRPr="004B287E">
              <w:rPr>
                <w:rFonts w:ascii="Calibri" w:hAnsi="Calibri" w:cs="Calibri"/>
                <w:b/>
                <w:sz w:val="20"/>
                <w:szCs w:val="20"/>
              </w:rPr>
              <w:t>227</w:t>
            </w:r>
          </w:p>
        </w:tc>
        <w:tc>
          <w:tcPr>
            <w:tcW w:w="993" w:type="dxa"/>
            <w:tcBorders>
              <w:right w:val="single" w:sz="8" w:space="0" w:color="auto"/>
            </w:tcBorders>
            <w:vAlign w:val="center"/>
          </w:tcPr>
          <w:p w:rsidR="008B1328" w:rsidRPr="004B287E" w:rsidRDefault="008B1328" w:rsidP="003616A0">
            <w:pPr>
              <w:jc w:val="right"/>
              <w:rPr>
                <w:b/>
                <w:sz w:val="20"/>
                <w:szCs w:val="20"/>
              </w:rPr>
            </w:pPr>
            <w:r w:rsidRPr="004B287E">
              <w:rPr>
                <w:b/>
                <w:sz w:val="20"/>
                <w:szCs w:val="20"/>
              </w:rPr>
              <w:t>230</w:t>
            </w:r>
          </w:p>
        </w:tc>
        <w:tc>
          <w:tcPr>
            <w:tcW w:w="993" w:type="dxa"/>
            <w:tcBorders>
              <w:left w:val="single" w:sz="8" w:space="0" w:color="auto"/>
            </w:tcBorders>
            <w:vAlign w:val="center"/>
          </w:tcPr>
          <w:p w:rsidR="008B1328" w:rsidRPr="004B287E" w:rsidRDefault="008B1328" w:rsidP="003616A0">
            <w:pPr>
              <w:jc w:val="right"/>
              <w:rPr>
                <w:b/>
                <w:sz w:val="20"/>
                <w:szCs w:val="20"/>
              </w:rPr>
            </w:pPr>
            <w:r w:rsidRPr="004B287E">
              <w:rPr>
                <w:b/>
                <w:sz w:val="20"/>
                <w:szCs w:val="20"/>
              </w:rPr>
              <w:t>264</w:t>
            </w:r>
          </w:p>
        </w:tc>
        <w:tc>
          <w:tcPr>
            <w:tcW w:w="1134" w:type="dxa"/>
            <w:tcBorders>
              <w:right w:val="single" w:sz="8" w:space="0" w:color="auto"/>
            </w:tcBorders>
            <w:vAlign w:val="center"/>
          </w:tcPr>
          <w:p w:rsidR="008B1328" w:rsidRPr="004B287E" w:rsidRDefault="008B1328" w:rsidP="003616A0">
            <w:pPr>
              <w:jc w:val="right"/>
              <w:rPr>
                <w:b/>
                <w:sz w:val="20"/>
                <w:szCs w:val="20"/>
              </w:rPr>
            </w:pPr>
            <w:r w:rsidRPr="004B287E">
              <w:rPr>
                <w:b/>
                <w:sz w:val="20"/>
                <w:szCs w:val="20"/>
              </w:rPr>
              <w:t>314</w:t>
            </w:r>
          </w:p>
        </w:tc>
        <w:tc>
          <w:tcPr>
            <w:tcW w:w="993" w:type="dxa"/>
            <w:tcBorders>
              <w:left w:val="single" w:sz="8" w:space="0" w:color="auto"/>
            </w:tcBorders>
            <w:vAlign w:val="center"/>
          </w:tcPr>
          <w:p w:rsidR="008B1328" w:rsidRPr="004B287E" w:rsidRDefault="008B1328" w:rsidP="003616A0">
            <w:pPr>
              <w:jc w:val="right"/>
              <w:rPr>
                <w:b/>
                <w:sz w:val="20"/>
                <w:szCs w:val="20"/>
              </w:rPr>
            </w:pPr>
            <w:r w:rsidRPr="004B287E">
              <w:rPr>
                <w:b/>
                <w:sz w:val="20"/>
                <w:szCs w:val="20"/>
              </w:rPr>
              <w:t>284</w:t>
            </w:r>
          </w:p>
        </w:tc>
        <w:tc>
          <w:tcPr>
            <w:tcW w:w="1134" w:type="dxa"/>
            <w:tcBorders>
              <w:left w:val="single" w:sz="8" w:space="0" w:color="auto"/>
            </w:tcBorders>
            <w:vAlign w:val="center"/>
          </w:tcPr>
          <w:p w:rsidR="008B1328" w:rsidRPr="004B287E" w:rsidRDefault="008B1328" w:rsidP="003616A0">
            <w:pPr>
              <w:jc w:val="right"/>
              <w:rPr>
                <w:b/>
                <w:sz w:val="20"/>
                <w:szCs w:val="20"/>
              </w:rPr>
            </w:pPr>
            <w:r w:rsidRPr="004B287E">
              <w:rPr>
                <w:b/>
                <w:sz w:val="20"/>
                <w:szCs w:val="20"/>
              </w:rPr>
              <w:t>1.319</w:t>
            </w:r>
          </w:p>
        </w:tc>
        <w:tc>
          <w:tcPr>
            <w:tcW w:w="1242" w:type="dxa"/>
            <w:tcBorders>
              <w:left w:val="single" w:sz="8" w:space="0" w:color="auto"/>
            </w:tcBorders>
            <w:vAlign w:val="bottom"/>
          </w:tcPr>
          <w:p w:rsidR="008B1328" w:rsidRPr="004B287E" w:rsidRDefault="008B1328" w:rsidP="008B1328">
            <w:pPr>
              <w:jc w:val="right"/>
              <w:rPr>
                <w:rFonts w:ascii="Calibri" w:hAnsi="Calibri" w:cs="Calibri"/>
              </w:rPr>
            </w:pPr>
            <w:r w:rsidRPr="004B287E">
              <w:rPr>
                <w:rFonts w:ascii="Calibri" w:hAnsi="Calibri" w:cs="Calibri"/>
              </w:rPr>
              <w:t>100,0</w:t>
            </w:r>
          </w:p>
        </w:tc>
      </w:tr>
    </w:tbl>
    <w:p w:rsidR="002614AF" w:rsidRPr="004B287E" w:rsidRDefault="002614AF" w:rsidP="00DA4B94">
      <w:pPr>
        <w:spacing w:after="0" w:line="240" w:lineRule="auto"/>
        <w:jc w:val="center"/>
        <w:rPr>
          <w:i/>
        </w:rPr>
      </w:pPr>
      <w:r w:rsidRPr="004B287E">
        <w:rPr>
          <w:b/>
          <w:i/>
        </w:rPr>
        <w:t>Kaynak</w:t>
      </w:r>
      <w:r w:rsidRPr="004B287E">
        <w:rPr>
          <w:i/>
        </w:rPr>
        <w:t>: SGK 2013</w:t>
      </w:r>
      <w:r w:rsidR="00E1381C">
        <w:rPr>
          <w:i/>
        </w:rPr>
        <w:t>, 2014, 2015, 2016,</w:t>
      </w:r>
      <w:r w:rsidRPr="004B287E">
        <w:rPr>
          <w:i/>
        </w:rPr>
        <w:t xml:space="preserve"> 2017 İstatistikleri</w:t>
      </w:r>
    </w:p>
    <w:p w:rsidR="002614AF" w:rsidRPr="004B287E" w:rsidRDefault="002614AF" w:rsidP="002614AF">
      <w:pPr>
        <w:spacing w:after="0" w:line="240" w:lineRule="auto"/>
      </w:pPr>
    </w:p>
    <w:p w:rsidR="002614AF" w:rsidRPr="004B287E" w:rsidRDefault="002614AF" w:rsidP="00AE750A">
      <w:pPr>
        <w:ind w:firstLine="567"/>
        <w:jc w:val="both"/>
      </w:pPr>
      <w:r w:rsidRPr="004B287E">
        <w:t xml:space="preserve">2017 yılında meslek hastalığı sonucu ölüm nedeniyle hak sahiplerine ölüm geliri bağlanan dosya sayısı 284 olmuştur. Dosyaların 167'si Zonguldak, 47'si Bartın ve 12'si Karabük olmak üzere 226'sı (%80) Zonguldak havzasındadır. 12 dosya ise İstanbul'dandır (Tablo </w:t>
      </w:r>
      <w:r w:rsidR="00C54F58" w:rsidRPr="004B287E">
        <w:t>-10</w:t>
      </w:r>
      <w:r w:rsidRPr="004B287E">
        <w:t xml:space="preserve">). </w:t>
      </w:r>
      <w:r w:rsidR="008B1328" w:rsidRPr="004B287E">
        <w:t>Dönem boyunca</w:t>
      </w:r>
      <w:r w:rsidRPr="004B287E">
        <w:t xml:space="preserve"> Zonguldak'taki dosya sayısı tek başına tüm dosyaların %68'ini oluşturmaktadır. İşçi statüsündeki (5510 Md. 4-1/a kapsamı) aktif sigortalıların %0,6'sı Zonguldak'ta çalışmaktadır. Kömür ve linyit çıkartılması (NACE Kodu: 05) faaliyet grubunda çalışan 37.596 işçinin 10.865'i Manisa'da, 7.974'ü Zonguldak'ta, 2.396'sı Kütahya'da, 1.861'i Kahramanmaraş'ta, 1.665'i Bartın'da, 1.643'ü Ankara'da, 1.600'ü Tekirdağ'da kayıtlıdır. 2017 verileri itibariyle Zonguldak'takinden daha fazla sayıda maden işçisinin çalıştığı ve Soma katliamına sahne olmuş olan Manisa'da son 5 yılda hiçbir meslek hastalığından ölüm geliri bağlanmamış olması</w:t>
      </w:r>
      <w:r w:rsidR="00725076" w:rsidRPr="004B287E">
        <w:t xml:space="preserve">, bu şehirde </w:t>
      </w:r>
      <w:r w:rsidRPr="004B287E">
        <w:t>meslek hasta</w:t>
      </w:r>
      <w:r w:rsidR="00725076" w:rsidRPr="004B287E">
        <w:t>lığı tespiti sistemin</w:t>
      </w:r>
      <w:r w:rsidR="00BA5EA3" w:rsidRPr="004B287E">
        <w:t>in</w:t>
      </w:r>
      <w:r w:rsidR="00725076" w:rsidRPr="004B287E">
        <w:t xml:space="preserve"> </w:t>
      </w:r>
      <w:r w:rsidRPr="004B287E">
        <w:t>işle</w:t>
      </w:r>
      <w:r w:rsidR="00725076" w:rsidRPr="004B287E">
        <w:t>me</w:t>
      </w:r>
      <w:r w:rsidRPr="004B287E">
        <w:t xml:space="preserve">diği şeklinde yorumlanabilir. En çok meslek hastalığı sonucu ölüm gelirinin bağlandığı ikinci kent, sanayi ve madenciliğin göreli olarak zayıf olduğu bilinen, Ankara'dır. </w:t>
      </w:r>
    </w:p>
    <w:p w:rsidR="00D36DE6" w:rsidRPr="004B287E" w:rsidRDefault="00F81B2D" w:rsidP="00AE750A">
      <w:pPr>
        <w:ind w:firstLine="567"/>
        <w:jc w:val="both"/>
      </w:pPr>
      <w:r w:rsidRPr="004B287E">
        <w:t>Öte yandan tespit edilerek sürekli iş göremezlik geliri veya ölüm geliri bağlanan olaylar ilgili çalışanın ve ailesinin karşı karşıya kaldığı yıkımın ekonomik bölümünü bir miktar azaltsa da</w:t>
      </w:r>
      <w:r w:rsidR="00E23AD3" w:rsidRPr="004B287E">
        <w:t>, tespit ve tazmin edilmeyen meslek hastalıkları</w:t>
      </w:r>
      <w:r w:rsidRPr="004B287E">
        <w:t xml:space="preserve"> çok daha fazladır. </w:t>
      </w:r>
      <w:r w:rsidR="00E23AD3" w:rsidRPr="004B287E">
        <w:t xml:space="preserve"> </w:t>
      </w:r>
    </w:p>
    <w:p w:rsidR="00AE0C65" w:rsidRPr="004B287E" w:rsidRDefault="00AE0C65" w:rsidP="00BD45B2">
      <w:pPr>
        <w:pStyle w:val="Balk2"/>
        <w:numPr>
          <w:ilvl w:val="0"/>
          <w:numId w:val="10"/>
        </w:numPr>
      </w:pPr>
      <w:bookmarkStart w:id="23" w:name="_Toc536280783"/>
      <w:r w:rsidRPr="004B287E">
        <w:t>Uluslararası Karşılaştırmalar</w:t>
      </w:r>
      <w:bookmarkEnd w:id="23"/>
    </w:p>
    <w:p w:rsidR="00AE0C65" w:rsidRPr="004B287E" w:rsidRDefault="00AE0C65" w:rsidP="00AE750A">
      <w:pPr>
        <w:ind w:firstLine="567"/>
        <w:jc w:val="both"/>
      </w:pPr>
      <w:proofErr w:type="spellStart"/>
      <w:r w:rsidRPr="004B287E">
        <w:t>SGK'nın</w:t>
      </w:r>
      <w:proofErr w:type="spellEnd"/>
      <w:r w:rsidRPr="004B287E">
        <w:t xml:space="preserve"> yayınladığı iş kazası ve meslek hastalığı verileri genel olarak Avrupa ülkeleri, özel olarak İngiltere (Birleşik Krallık) ile karşılaştırılacaktır</w:t>
      </w:r>
      <w:r w:rsidR="00B231CE" w:rsidRPr="004B287E">
        <w:rPr>
          <w:rStyle w:val="DipnotBavurusu"/>
        </w:rPr>
        <w:footnoteReference w:id="3"/>
      </w:r>
      <w:r w:rsidRPr="004B287E">
        <w:t>. Karşılaştırma yapılırken amacımız İngiltere ve Almanya gibi emperyalist ülkelerdeki durumu idealize</w:t>
      </w:r>
      <w:r w:rsidR="005E618E" w:rsidRPr="004B287E">
        <w:t xml:space="preserve"> etmek değildir. Bu ülkeler bir</w:t>
      </w:r>
      <w:r w:rsidRPr="004B287E">
        <w:t>çok tehlikeli ve kirli işi yoksul ve bağımlı ülkelere kaydırmış</w:t>
      </w:r>
      <w:r w:rsidR="007D693A" w:rsidRPr="004B287E">
        <w:t>,</w:t>
      </w:r>
      <w:r w:rsidRPr="004B287E">
        <w:t xml:space="preserve"> söz konusu ülkelerdeki</w:t>
      </w:r>
      <w:r w:rsidR="001A656C" w:rsidRPr="004B287E">
        <w:t xml:space="preserve"> bir</w:t>
      </w:r>
      <w:r w:rsidRPr="004B287E">
        <w:t>çok sağlık sorunundan sorumlu olmuşlardır. Bununla birlikte hem sistemin ihtiyacı, hem de işçi sınıfının mücadele geçmişiyle birlikte oluşmuş olan bir sağlık ve güvenlik düzeyi bulunmaktadır. Örnek verilen ülkelerdeki durum,  içinde bulunduğumuz kapitalizm koşullarında bile</w:t>
      </w:r>
      <w:r w:rsidR="007D693A" w:rsidRPr="004B287E">
        <w:t>,</w:t>
      </w:r>
      <w:r w:rsidRPr="004B287E">
        <w:t xml:space="preserve"> Türkiye gibi ülkelerdeki mevcut durumdan çok daha iyi seviyelerin yakalanmasının mümkün olduğu</w:t>
      </w:r>
      <w:r w:rsidR="007D693A" w:rsidRPr="004B287E">
        <w:t xml:space="preserve">nu göstermektedir. </w:t>
      </w:r>
      <w:r w:rsidRPr="004B287E">
        <w:t xml:space="preserve">Veri ve karşılaştırmaların bu perspektifle değerlendirilmesinde yarar olduğunu düşünüyoruz. </w:t>
      </w:r>
    </w:p>
    <w:p w:rsidR="00D84CEF" w:rsidRPr="004B287E" w:rsidRDefault="00D41F39" w:rsidP="00AE750A">
      <w:pPr>
        <w:ind w:firstLine="567"/>
        <w:jc w:val="both"/>
      </w:pPr>
      <w:r w:rsidRPr="004B287E">
        <w:lastRenderedPageBreak/>
        <w:t>ILO (2013, s. 4) meslek hastalıklarını "</w:t>
      </w:r>
      <w:r w:rsidRPr="004B287E">
        <w:rPr>
          <w:b/>
        </w:rPr>
        <w:t>gizli salgın</w:t>
      </w:r>
      <w:r w:rsidRPr="004B287E">
        <w:t xml:space="preserve">" olarak tanımlamıştır. </w:t>
      </w:r>
      <w:r w:rsidR="00B82450" w:rsidRPr="004B287E">
        <w:t xml:space="preserve">ILO </w:t>
      </w:r>
      <w:r w:rsidR="001A656C" w:rsidRPr="004B287E">
        <w:t>"</w:t>
      </w:r>
      <w:r w:rsidR="00B82450" w:rsidRPr="004B287E">
        <w:t>m</w:t>
      </w:r>
      <w:r w:rsidR="00E648AE" w:rsidRPr="004B287E">
        <w:t>eslek hastalıklarını</w:t>
      </w:r>
      <w:r w:rsidR="001A656C" w:rsidRPr="004B287E">
        <w:t>"</w:t>
      </w:r>
      <w:r w:rsidR="00E648AE" w:rsidRPr="004B287E">
        <w:t xml:space="preserve"> işten kaynaklanan </w:t>
      </w:r>
      <w:proofErr w:type="spellStart"/>
      <w:r w:rsidR="00E648AE" w:rsidRPr="004B287E">
        <w:t>maruziyetlerin</w:t>
      </w:r>
      <w:proofErr w:type="spellEnd"/>
      <w:r w:rsidR="00E648AE" w:rsidRPr="004B287E">
        <w:t xml:space="preserve"> bir sonucu olarak ortaya çıkan hastalıklar </w:t>
      </w:r>
      <w:r w:rsidR="001A656C" w:rsidRPr="004B287E">
        <w:t xml:space="preserve">şeklinde </w:t>
      </w:r>
      <w:r w:rsidR="00E648AE" w:rsidRPr="004B287E">
        <w:t xml:space="preserve">tanımlamaktadır. </w:t>
      </w:r>
      <w:r w:rsidR="001A656C" w:rsidRPr="004B287E">
        <w:t>"</w:t>
      </w:r>
      <w:r w:rsidR="00E648AE" w:rsidRPr="004B287E">
        <w:t>İşe bağlı sağlık sorunları</w:t>
      </w:r>
      <w:r w:rsidR="001A656C" w:rsidRPr="004B287E">
        <w:t>"</w:t>
      </w:r>
      <w:r w:rsidR="00E648AE" w:rsidRPr="004B287E">
        <w:t xml:space="preserve"> </w:t>
      </w:r>
      <w:r w:rsidR="00F1532F" w:rsidRPr="004B287E">
        <w:t xml:space="preserve">ise </w:t>
      </w:r>
      <w:r w:rsidR="00E648AE" w:rsidRPr="004B287E">
        <w:t>çalışma şartlarının kısmen ya da tamamen neden olduğu veya kötüleştirdiği fiziksel ya da ruhsal sağlık sorunları ve hastalıklar</w:t>
      </w:r>
      <w:r w:rsidR="00F1532F" w:rsidRPr="004B287E">
        <w:t xml:space="preserve"> olarak tanımlanmaktadır. </w:t>
      </w:r>
      <w:r w:rsidR="00D84CEF" w:rsidRPr="004B287E">
        <w:t xml:space="preserve">ILO (2018, s. 7) her yıl 2,4 milyon kişinin işe bağlı hastalıklardan, 380 bin kişinin ise iş kazalarından öldüğünü tahmin etmektedir. </w:t>
      </w:r>
    </w:p>
    <w:p w:rsidR="00D41F39" w:rsidRPr="004B287E" w:rsidRDefault="00F1532F" w:rsidP="00AE750A">
      <w:pPr>
        <w:ind w:firstLine="567"/>
        <w:jc w:val="both"/>
      </w:pPr>
      <w:r w:rsidRPr="004B287E">
        <w:t xml:space="preserve">İşe bağlı sağlık sorunları ve hastalıklar çok daha geniş bir kapsamda olmasına karşın dünya genelindeki sistemler esas olarak hastalığa neden olan </w:t>
      </w:r>
      <w:proofErr w:type="spellStart"/>
      <w:r w:rsidRPr="004B287E">
        <w:t>maruziyetin</w:t>
      </w:r>
      <w:proofErr w:type="spellEnd"/>
      <w:r w:rsidRPr="004B287E">
        <w:t xml:space="preserve"> tamamen işten kaynaklandığı meslek hastalıklarını teşhis etmeye ve tanımaya dönüktür. </w:t>
      </w:r>
      <w:r w:rsidR="00D84CEF" w:rsidRPr="004B287E">
        <w:t xml:space="preserve">Bu nedenle de </w:t>
      </w:r>
      <w:r w:rsidR="001A656C" w:rsidRPr="004B287E">
        <w:t xml:space="preserve">işe bağlı sağlık sorunlarının teşhis ve tazmininde </w:t>
      </w:r>
      <w:r w:rsidR="00D84CEF" w:rsidRPr="004B287E">
        <w:t xml:space="preserve">dünya genelinde yetersizlikler bulunmaktadır. Ancak meslek hastalığı tanıları dünyanın birçok ülkesinde zaman içinde artış göstermektedir. Örneğin Almanya'da 1990 yılında </w:t>
      </w:r>
      <w:proofErr w:type="spellStart"/>
      <w:r w:rsidR="00D84CEF" w:rsidRPr="004B287E">
        <w:t>yüzbin</w:t>
      </w:r>
      <w:proofErr w:type="spellEnd"/>
      <w:r w:rsidR="00D84CEF" w:rsidRPr="004B287E">
        <w:t xml:space="preserve"> kişi için meslek hastalığı </w:t>
      </w:r>
      <w:proofErr w:type="spellStart"/>
      <w:r w:rsidR="00D84CEF" w:rsidRPr="004B287E">
        <w:t>insidansı</w:t>
      </w:r>
      <w:proofErr w:type="spellEnd"/>
      <w:r w:rsidR="00D84CEF" w:rsidRPr="004B287E">
        <w:t xml:space="preserve"> 35 iken 2009 yılında 66'ya yükselmiştir. Aynı dönemde Türkiye'de ise 36,6'dan </w:t>
      </w:r>
      <w:proofErr w:type="gramStart"/>
      <w:r w:rsidR="00D84CEF" w:rsidRPr="004B287E">
        <w:t>4.8'e</w:t>
      </w:r>
      <w:proofErr w:type="gramEnd"/>
      <w:r w:rsidR="00D84CEF" w:rsidRPr="004B287E">
        <w:t xml:space="preserve"> düşmüştür (Müezzinoğlu ve Tellioğlu, 2016, s. 2-3). </w:t>
      </w:r>
    </w:p>
    <w:p w:rsidR="00AE0C65" w:rsidRPr="004B287E" w:rsidRDefault="00A27EF2" w:rsidP="00AE750A">
      <w:pPr>
        <w:ind w:firstLine="567"/>
        <w:jc w:val="both"/>
      </w:pPr>
      <w:r w:rsidRPr="004B287E">
        <w:t>Verilere göre AB-15</w:t>
      </w:r>
      <w:r w:rsidRPr="004B287E">
        <w:rPr>
          <w:rStyle w:val="DipnotBavurusu"/>
        </w:rPr>
        <w:footnoteReference w:id="4"/>
      </w:r>
      <w:r w:rsidRPr="004B287E">
        <w:t xml:space="preserve"> ülkelerinde ölümcül yaralanmalar 1994-2015 döneminde azalma eğilimindedir</w:t>
      </w:r>
      <w:r w:rsidR="007D693A" w:rsidRPr="004B287E">
        <w:t xml:space="preserve"> (HSE, 2018, s. 2)</w:t>
      </w:r>
      <w:r w:rsidRPr="004B287E">
        <w:t xml:space="preserve">. </w:t>
      </w:r>
    </w:p>
    <w:p w:rsidR="00976205" w:rsidRPr="004B287E" w:rsidRDefault="00377617" w:rsidP="00D65C41">
      <w:pPr>
        <w:pStyle w:val="TabloBal"/>
        <w:rPr>
          <w:color w:val="auto"/>
        </w:rPr>
      </w:pPr>
      <w:bookmarkStart w:id="24" w:name="_Toc536279470"/>
      <w:r w:rsidRPr="004B287E">
        <w:rPr>
          <w:b/>
          <w:color w:val="auto"/>
        </w:rPr>
        <w:t>Grafik-3</w:t>
      </w:r>
      <w:r w:rsidR="00C923F2" w:rsidRPr="004B287E">
        <w:rPr>
          <w:b/>
          <w:color w:val="auto"/>
        </w:rPr>
        <w:t>:</w:t>
      </w:r>
      <w:r w:rsidR="00C923F2" w:rsidRPr="004B287E">
        <w:rPr>
          <w:color w:val="auto"/>
        </w:rPr>
        <w:t xml:space="preserve"> </w:t>
      </w:r>
      <w:r w:rsidR="00976205" w:rsidRPr="004B287E">
        <w:rPr>
          <w:color w:val="auto"/>
          <w:spacing w:val="-4"/>
        </w:rPr>
        <w:t xml:space="preserve">Seçilmiş Avrupa Ülkeleri </w:t>
      </w:r>
      <w:r w:rsidR="000B7E31" w:rsidRPr="004B287E">
        <w:rPr>
          <w:color w:val="auto"/>
          <w:spacing w:val="-4"/>
        </w:rPr>
        <w:t xml:space="preserve">ve Türkiye'de </w:t>
      </w:r>
      <w:r w:rsidR="009561AC" w:rsidRPr="004B287E">
        <w:rPr>
          <w:color w:val="auto"/>
          <w:spacing w:val="-4"/>
        </w:rPr>
        <w:t xml:space="preserve">İş Kazası Nedeniyle </w:t>
      </w:r>
      <w:r w:rsidR="00976205" w:rsidRPr="004B287E">
        <w:rPr>
          <w:color w:val="auto"/>
          <w:spacing w:val="-4"/>
        </w:rPr>
        <w:t>Ölüm Hızı (100.000 çalışanda), 2015-2016</w:t>
      </w:r>
      <w:bookmarkEnd w:id="24"/>
    </w:p>
    <w:p w:rsidR="00AC4280" w:rsidRPr="004B287E" w:rsidRDefault="00377617" w:rsidP="002E5EE5">
      <w:pPr>
        <w:spacing w:after="120" w:line="240" w:lineRule="auto"/>
        <w:rPr>
          <w:i/>
        </w:rPr>
      </w:pPr>
      <w:r w:rsidRPr="004B287E">
        <w:rPr>
          <w:noProof/>
          <w:lang w:eastAsia="tr-TR"/>
        </w:rPr>
        <w:drawing>
          <wp:inline distT="0" distB="0" distL="0" distR="0">
            <wp:extent cx="5941060" cy="3285711"/>
            <wp:effectExtent l="0" t="0" r="21590" b="1016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85824" w:rsidRPr="004B287E">
        <w:rPr>
          <w:b/>
          <w:i/>
        </w:rPr>
        <w:t>Kaynak</w:t>
      </w:r>
      <w:r w:rsidR="00D85824" w:rsidRPr="004B287E">
        <w:rPr>
          <w:i/>
        </w:rPr>
        <w:t xml:space="preserve">: Avrupa ülkeleri </w:t>
      </w:r>
      <w:r w:rsidR="00AC4280" w:rsidRPr="004B287E">
        <w:rPr>
          <w:i/>
        </w:rPr>
        <w:t>verileri</w:t>
      </w:r>
      <w:r w:rsidR="00D85824" w:rsidRPr="004B287E">
        <w:rPr>
          <w:i/>
        </w:rPr>
        <w:t xml:space="preserve"> </w:t>
      </w:r>
      <w:proofErr w:type="spellStart"/>
      <w:r w:rsidR="00D85824" w:rsidRPr="004B287E">
        <w:rPr>
          <w:i/>
        </w:rPr>
        <w:t>Eurostat</w:t>
      </w:r>
      <w:r w:rsidR="00AC4280" w:rsidRPr="004B287E">
        <w:rPr>
          <w:i/>
        </w:rPr>
        <w:t>'tan</w:t>
      </w:r>
      <w:proofErr w:type="spellEnd"/>
      <w:r w:rsidR="00AC4280" w:rsidRPr="004B287E">
        <w:rPr>
          <w:i/>
        </w:rPr>
        <w:t xml:space="preserve"> alınmıştır.</w:t>
      </w:r>
      <w:r w:rsidR="00D85824" w:rsidRPr="004B287E">
        <w:rPr>
          <w:i/>
        </w:rPr>
        <w:t xml:space="preserve"> Türkiye için SGK istatistikleri</w:t>
      </w:r>
      <w:r w:rsidR="00AC4280" w:rsidRPr="004B287E">
        <w:rPr>
          <w:i/>
        </w:rPr>
        <w:t xml:space="preserve">nden hesaplanmıştır. </w:t>
      </w:r>
    </w:p>
    <w:p w:rsidR="002E5EE5" w:rsidRPr="004B287E" w:rsidRDefault="002E5EE5" w:rsidP="00AC4280">
      <w:pPr>
        <w:rPr>
          <w:i/>
        </w:rPr>
      </w:pPr>
      <w:r w:rsidRPr="004B287E">
        <w:rPr>
          <w:i/>
        </w:rPr>
        <w:t xml:space="preserve">Not: Tablodaki gösterilen rakamlar 2016 yılı ölüm hızı rakamlarıdır. Rakamların karışmaması için 2015 yılı rakamlarına yer verilmemiştir. </w:t>
      </w:r>
    </w:p>
    <w:p w:rsidR="00AC4280" w:rsidRPr="004B287E" w:rsidRDefault="00AC4280" w:rsidP="00AE750A">
      <w:pPr>
        <w:ind w:firstLine="567"/>
        <w:jc w:val="both"/>
      </w:pPr>
      <w:r w:rsidRPr="004B287E">
        <w:t xml:space="preserve">2016 yılı itibariyle Avrupa </w:t>
      </w:r>
      <w:r w:rsidR="00420E93" w:rsidRPr="004B287E">
        <w:t>Birliği üyelerind</w:t>
      </w:r>
      <w:r w:rsidRPr="004B287E">
        <w:t xml:space="preserve">e 100.000 çalışan başına ölüm olayına ilişkin standardize veriler </w:t>
      </w:r>
      <w:r w:rsidR="00420E93" w:rsidRPr="004B287E">
        <w:t xml:space="preserve">Hollanda'da 0,5, </w:t>
      </w:r>
      <w:r w:rsidRPr="004B287E">
        <w:t xml:space="preserve">İngiltere'de 0,8 ile İtalya'daki 2,78 değerleri arasında ve AB-15 ortalaması 1,55 </w:t>
      </w:r>
      <w:r w:rsidRPr="004B287E">
        <w:lastRenderedPageBreak/>
        <w:t xml:space="preserve">iken Türkiye'de işçiler için 10,2 civarındadır. Veri setleri arasında bazı farklılıklar olmakla birlikte aradaki fark çok </w:t>
      </w:r>
      <w:r w:rsidR="000B7E31" w:rsidRPr="004B287E">
        <w:t xml:space="preserve">büyüktür ve </w:t>
      </w:r>
      <w:r w:rsidRPr="004B287E">
        <w:t>6 kattan fazla</w:t>
      </w:r>
      <w:r w:rsidR="000B7E31" w:rsidRPr="004B287E">
        <w:t>dı</w:t>
      </w:r>
      <w:r w:rsidRPr="004B287E">
        <w:t>r</w:t>
      </w:r>
      <w:r w:rsidR="007B7648" w:rsidRPr="004B287E">
        <w:t xml:space="preserve"> (Grafik-3)</w:t>
      </w:r>
      <w:r w:rsidRPr="004B287E">
        <w:t xml:space="preserve">. </w:t>
      </w:r>
    </w:p>
    <w:p w:rsidR="00F27E97" w:rsidRPr="004B287E" w:rsidRDefault="00F50CC5" w:rsidP="00AE750A">
      <w:pPr>
        <w:ind w:firstLine="567"/>
        <w:jc w:val="both"/>
      </w:pPr>
      <w:r w:rsidRPr="004B287E">
        <w:t>İşçi sağlığı ve iş güv</w:t>
      </w:r>
      <w:r w:rsidR="007D693A" w:rsidRPr="004B287E">
        <w:t xml:space="preserve">enliği açısından Avrupa'daki en </w:t>
      </w:r>
      <w:r w:rsidRPr="004B287E">
        <w:t>ileri</w:t>
      </w:r>
      <w:r w:rsidR="007D693A" w:rsidRPr="004B287E">
        <w:t xml:space="preserve"> ve</w:t>
      </w:r>
      <w:r w:rsidRPr="004B287E">
        <w:t xml:space="preserve"> </w:t>
      </w:r>
      <w:r w:rsidR="007D693A" w:rsidRPr="004B287E">
        <w:t xml:space="preserve">büyük </w:t>
      </w:r>
      <w:r w:rsidRPr="004B287E">
        <w:t xml:space="preserve">ekonomilerden birisi olan İngiltere'de </w:t>
      </w:r>
      <w:r w:rsidR="00642415" w:rsidRPr="004B287E">
        <w:t>HSE verilerine göre</w:t>
      </w:r>
      <w:r w:rsidR="00642415" w:rsidRPr="004B287E">
        <w:rPr>
          <w:rStyle w:val="DipnotBavurusu"/>
        </w:rPr>
        <w:footnoteReference w:id="5"/>
      </w:r>
      <w:r w:rsidR="00642415" w:rsidRPr="004B287E">
        <w:t xml:space="preserve"> </w:t>
      </w:r>
      <w:r w:rsidRPr="004B287E">
        <w:t xml:space="preserve">2017/18 döneminde </w:t>
      </w:r>
      <w:r w:rsidR="006F09DB" w:rsidRPr="004B287E">
        <w:t xml:space="preserve">144 işçi iş kazalarında hayatını kaybetmiştir. </w:t>
      </w:r>
      <w:r w:rsidR="0069434C" w:rsidRPr="004B287E">
        <w:t xml:space="preserve">Ayrıca işle ilgili faaliyetler nedeniyle de halktan 100 kişi hayatını kaybetmiştir. İşle ilgili faaliyetler nedeniyle </w:t>
      </w:r>
      <w:r w:rsidR="008402DA" w:rsidRPr="004B287E">
        <w:t xml:space="preserve">halktan </w:t>
      </w:r>
      <w:r w:rsidR="0069434C" w:rsidRPr="004B287E">
        <w:t>hayatını kaybeden 100 kişiden 51</w:t>
      </w:r>
      <w:r w:rsidR="008402DA" w:rsidRPr="004B287E">
        <w:t>'i demiryollarında, 16'sı sağlık ve sosyal çalışmalar sektöründe hayatını kaybetmiştir.</w:t>
      </w:r>
      <w:r w:rsidR="0069434C" w:rsidRPr="004B287E">
        <w:t xml:space="preserve">   </w:t>
      </w:r>
      <w:r w:rsidR="006F09DB" w:rsidRPr="004B287E">
        <w:t>Aynı dönemde</w:t>
      </w:r>
      <w:r w:rsidR="00420E93" w:rsidRPr="004B287E">
        <w:t xml:space="preserve"> 1,</w:t>
      </w:r>
      <w:r w:rsidRPr="004B287E">
        <w:t>4 milyon işçinin yeni veya uzun süreli işle ilgili sağlık sorunları yaşadığı</w:t>
      </w:r>
      <w:r w:rsidR="00420E93" w:rsidRPr="004B287E">
        <w:t>, 541 bin yeni vaka olduğu</w:t>
      </w:r>
      <w:r w:rsidRPr="004B287E">
        <w:t xml:space="preserve"> belirtilmektedir. </w:t>
      </w:r>
      <w:r w:rsidR="00F27E97" w:rsidRPr="004B287E">
        <w:t xml:space="preserve">Beyan edilen sağlık problemlerinin </w:t>
      </w:r>
      <w:r w:rsidR="006F09DB" w:rsidRPr="004B287E">
        <w:t>600 bin'i (</w:t>
      </w:r>
      <w:r w:rsidR="00F27E97" w:rsidRPr="004B287E">
        <w:t>%44</w:t>
      </w:r>
      <w:r w:rsidR="006F09DB" w:rsidRPr="004B287E">
        <w:t>)</w:t>
      </w:r>
      <w:r w:rsidR="00F27E97" w:rsidRPr="004B287E">
        <w:t xml:space="preserve"> stres, depresyon ve kaygıdan kaynaklı rahatsızlıklar, </w:t>
      </w:r>
      <w:r w:rsidR="006F09DB" w:rsidRPr="004B287E">
        <w:t>500 bin'i</w:t>
      </w:r>
      <w:r w:rsidR="00F27E97" w:rsidRPr="004B287E">
        <w:t xml:space="preserve"> </w:t>
      </w:r>
      <w:r w:rsidR="006F09DB" w:rsidRPr="004B287E">
        <w:t>(</w:t>
      </w:r>
      <w:r w:rsidR="00F27E97" w:rsidRPr="004B287E">
        <w:t>%35</w:t>
      </w:r>
      <w:r w:rsidR="006F09DB" w:rsidRPr="004B287E">
        <w:t>)</w:t>
      </w:r>
      <w:r w:rsidR="00F27E97" w:rsidRPr="004B287E">
        <w:t xml:space="preserve"> kas-iskelet sistemi rahatsızlıkları, %21'i ise diğer tip rahatsızlıklardır</w:t>
      </w:r>
      <w:r w:rsidR="00420E93" w:rsidRPr="004B287E">
        <w:t xml:space="preserve">. 595 bin stres, depresyon ve kaygı kaynaklı rahatsızlığın </w:t>
      </w:r>
      <w:r w:rsidR="006F386E" w:rsidRPr="004B287E">
        <w:t xml:space="preserve">%44'ü iş yükünden, %14'ü destek eksikliğinden, %13'ü şiddet, tehdit ve zorbalıktan, %8'i iş değişikliğinden, %21'i diğer nedenlerden kaynaklanmaktadır. </w:t>
      </w:r>
      <w:r w:rsidR="006F09DB" w:rsidRPr="004B287E">
        <w:t>İşle ilişkili kas-iskelet sistemi bozukluklarının % 42'si üst uzuvlar ve boyunda, %40'ı sırtta, %18'i alt uzuvlarda olduğu beyan edilmiştir</w:t>
      </w:r>
      <w:r w:rsidR="00F27E97" w:rsidRPr="004B287E">
        <w:t xml:space="preserve"> (</w:t>
      </w:r>
      <w:r w:rsidR="007D693A" w:rsidRPr="004B287E">
        <w:t>HSE</w:t>
      </w:r>
      <w:r w:rsidR="00A07C47" w:rsidRPr="004B287E">
        <w:t>,</w:t>
      </w:r>
      <w:r w:rsidR="007D693A" w:rsidRPr="004B287E">
        <w:t xml:space="preserve"> 2018b</w:t>
      </w:r>
      <w:r w:rsidR="00F27E97" w:rsidRPr="004B287E">
        <w:t xml:space="preserve">). </w:t>
      </w:r>
    </w:p>
    <w:p w:rsidR="00A27EF2" w:rsidRPr="004B287E" w:rsidRDefault="00F50CC5" w:rsidP="00AE750A">
      <w:pPr>
        <w:ind w:firstLine="567"/>
        <w:jc w:val="both"/>
      </w:pPr>
      <w:r w:rsidRPr="004B287E">
        <w:t xml:space="preserve">İngiltere'de işteki </w:t>
      </w:r>
      <w:proofErr w:type="spellStart"/>
      <w:r w:rsidRPr="004B287E">
        <w:t>maruziyetten</w:t>
      </w:r>
      <w:proofErr w:type="spellEnd"/>
      <w:r w:rsidRPr="004B287E">
        <w:t xml:space="preserve"> </w:t>
      </w:r>
      <w:r w:rsidR="00787561" w:rsidRPr="004B287E">
        <w:t xml:space="preserve">kaynaklanan sağlık sorunları nedeniyle yılda 13.000 kişinin hayatını kaybettiği, bunun 12.000 civarındaki kısmının </w:t>
      </w:r>
      <w:r w:rsidRPr="004B287E">
        <w:t>akciğer hastalıkların</w:t>
      </w:r>
      <w:r w:rsidR="00787561" w:rsidRPr="004B287E">
        <w:t>ın yol açtığı ölümler olduğu tahmin</w:t>
      </w:r>
      <w:r w:rsidRPr="004B287E">
        <w:t xml:space="preserve"> edilmektedir. </w:t>
      </w:r>
      <w:proofErr w:type="gramStart"/>
      <w:r w:rsidR="006F386E" w:rsidRPr="004B287E">
        <w:t xml:space="preserve">2016 yılı itibariyle </w:t>
      </w:r>
      <w:r w:rsidRPr="004B287E">
        <w:t xml:space="preserve">12 bin ölümün </w:t>
      </w:r>
      <w:r w:rsidR="006F386E" w:rsidRPr="004B287E">
        <w:t>2.60</w:t>
      </w:r>
      <w:r w:rsidRPr="004B287E">
        <w:t>0 kişi</w:t>
      </w:r>
      <w:r w:rsidR="006F386E" w:rsidRPr="004B287E">
        <w:t>'ye yakın kısmının</w:t>
      </w:r>
      <w:r w:rsidRPr="004B287E">
        <w:t xml:space="preserve"> </w:t>
      </w:r>
      <w:proofErr w:type="spellStart"/>
      <w:r w:rsidRPr="004B287E">
        <w:t>mezotelyoma</w:t>
      </w:r>
      <w:proofErr w:type="spellEnd"/>
      <w:r w:rsidRPr="004B287E">
        <w:rPr>
          <w:rStyle w:val="DipnotBavurusu"/>
        </w:rPr>
        <w:footnoteReference w:id="6"/>
      </w:r>
      <w:r w:rsidRPr="004B287E">
        <w:t xml:space="preserve">, </w:t>
      </w:r>
      <w:r w:rsidR="006F386E" w:rsidRPr="004B287E">
        <w:t>yine 2.600 kadar kısmının</w:t>
      </w:r>
      <w:r w:rsidRPr="004B287E">
        <w:t xml:space="preserve"> asbest</w:t>
      </w:r>
      <w:r w:rsidR="006F386E" w:rsidRPr="004B287E">
        <w:t xml:space="preserve"> </w:t>
      </w:r>
      <w:proofErr w:type="spellStart"/>
      <w:r w:rsidR="006F386E" w:rsidRPr="004B287E">
        <w:t>maruziyetinden</w:t>
      </w:r>
      <w:proofErr w:type="spellEnd"/>
      <w:r w:rsidR="006F386E" w:rsidRPr="004B287E">
        <w:t xml:space="preserve"> kaynaklanan</w:t>
      </w:r>
      <w:r w:rsidRPr="004B287E">
        <w:t xml:space="preserve"> akciğer kanseri,  %22'si (2.600 kişi) asbest dışındaki akciğer kanserleri, %32'si (3.800 kişi) kronik </w:t>
      </w:r>
      <w:proofErr w:type="spellStart"/>
      <w:r w:rsidRPr="004B287E">
        <w:t>obstrüktiv</w:t>
      </w:r>
      <w:proofErr w:type="spellEnd"/>
      <w:r w:rsidRPr="004B287E">
        <w:t xml:space="preserve"> akciğer </w:t>
      </w:r>
      <w:r w:rsidR="00851A02" w:rsidRPr="004B287E">
        <w:t>hastalığı (KOAH)</w:t>
      </w:r>
      <w:r w:rsidRPr="004B287E">
        <w:t>, %5'i (yaklaşık 600 kişi) diğer akciğer hastalıklarından hayatını kaybettiği tahmin edilmektedir</w:t>
      </w:r>
      <w:r w:rsidR="006F386E" w:rsidRPr="004B287E">
        <w:rPr>
          <w:rStyle w:val="DipnotBavurusu"/>
        </w:rPr>
        <w:footnoteReference w:id="7"/>
      </w:r>
      <w:r w:rsidRPr="004B287E">
        <w:t xml:space="preserve"> </w:t>
      </w:r>
      <w:r w:rsidR="006F09DB" w:rsidRPr="004B287E">
        <w:t>(HSE</w:t>
      </w:r>
      <w:r w:rsidR="00A07C47" w:rsidRPr="004B287E">
        <w:t>,</w:t>
      </w:r>
      <w:r w:rsidR="006F09DB" w:rsidRPr="004B287E">
        <w:t xml:space="preserve"> 2018b)</w:t>
      </w:r>
      <w:r w:rsidRPr="004B287E">
        <w:t>.</w:t>
      </w:r>
      <w:proofErr w:type="gramEnd"/>
    </w:p>
    <w:p w:rsidR="000D0B8F" w:rsidRPr="004B287E" w:rsidRDefault="000D0B8F" w:rsidP="00AE750A">
      <w:pPr>
        <w:ind w:firstLine="567"/>
        <w:jc w:val="both"/>
      </w:pPr>
      <w:r w:rsidRPr="004B287E">
        <w:t xml:space="preserve">İngiltere'de </w:t>
      </w:r>
      <w:r w:rsidR="00047B34" w:rsidRPr="004B287E">
        <w:t>her yıl tespit edilen kanserlerin %4'ünü oluşturan 13.500 vaka</w:t>
      </w:r>
      <w:r w:rsidR="001A0FC9" w:rsidRPr="004B287E">
        <w:t xml:space="preserve"> ile</w:t>
      </w:r>
      <w:r w:rsidR="00047B34" w:rsidRPr="004B287E">
        <w:t xml:space="preserve"> </w:t>
      </w:r>
      <w:r w:rsidRPr="004B287E">
        <w:t>kanserden kaynaklanan ölümlerin %5'ini</w:t>
      </w:r>
      <w:r w:rsidR="00047B34" w:rsidRPr="004B287E">
        <w:t xml:space="preserve"> oluşturan 8.000 ölümün</w:t>
      </w:r>
      <w:r w:rsidRPr="004B287E">
        <w:t xml:space="preserve"> mesleki </w:t>
      </w:r>
      <w:proofErr w:type="spellStart"/>
      <w:r w:rsidRPr="004B287E">
        <w:t>maruziyetten</w:t>
      </w:r>
      <w:proofErr w:type="spellEnd"/>
      <w:r w:rsidRPr="004B287E">
        <w:t xml:space="preserve"> kaynaklandığı hesaplanmaktadır. En büyük </w:t>
      </w:r>
      <w:r w:rsidR="007B7648" w:rsidRPr="004B287E">
        <w:t xml:space="preserve">mesleki </w:t>
      </w:r>
      <w:r w:rsidRPr="004B287E">
        <w:t>kanser etkeni asbesttir.</w:t>
      </w:r>
      <w:r w:rsidR="00A07C47" w:rsidRPr="004B287E">
        <w:t xml:space="preserve"> Diğer önemli etkenler s</w:t>
      </w:r>
      <w:r w:rsidRPr="004B287E">
        <w:t>ilika tozları,</w:t>
      </w:r>
      <w:r w:rsidR="00A07C47" w:rsidRPr="004B287E">
        <w:t xml:space="preserve"> güneş radyasyonu, </w:t>
      </w:r>
      <w:r w:rsidRPr="004B287E">
        <w:t xml:space="preserve"> </w:t>
      </w:r>
      <w:r w:rsidR="00A07C47" w:rsidRPr="004B287E">
        <w:t>mineral yağlar ve</w:t>
      </w:r>
      <w:r w:rsidRPr="004B287E">
        <w:t xml:space="preserve"> vardiyalı çalışma</w:t>
      </w:r>
      <w:r w:rsidR="00A07C47" w:rsidRPr="004B287E">
        <w:t>dır (HSE, 2018c, s. 2)</w:t>
      </w:r>
      <w:r w:rsidRPr="004B287E">
        <w:t xml:space="preserve">. </w:t>
      </w:r>
    </w:p>
    <w:p w:rsidR="00BA7D3A" w:rsidRPr="004B287E" w:rsidRDefault="00BA7D3A" w:rsidP="00AE750A">
      <w:pPr>
        <w:ind w:firstLine="567"/>
        <w:jc w:val="both"/>
      </w:pPr>
      <w:r w:rsidRPr="004B287E">
        <w:t xml:space="preserve">İngiltere'de de tahmin edilen meslek hastalıklarıyla, </w:t>
      </w:r>
      <w:r w:rsidRPr="00A91BD3">
        <w:rPr>
          <w:lang w:val="en-GB"/>
        </w:rPr>
        <w:t>Department for Work and Pensions</w:t>
      </w:r>
      <w:r w:rsidRPr="004B287E">
        <w:t xml:space="preserve"> tarafından </w:t>
      </w:r>
      <w:r w:rsidR="00DD54FB" w:rsidRPr="004B287E">
        <w:t xml:space="preserve">meslek hastalıkları nedeniyle </w:t>
      </w:r>
      <w:r w:rsidRPr="004B287E">
        <w:t xml:space="preserve">ödeme yapılan olay sayısı arasında büyük fark bulunmaktadır. Bu kurum tarafından son on yılda ortalama olarak her yıl 2.329 kişiye yeni mesleki kanser vakası nedeniyle ödeme yapılmıştır. 2017 yılında 2.025 kişiye </w:t>
      </w:r>
      <w:proofErr w:type="spellStart"/>
      <w:r w:rsidRPr="004B287E">
        <w:t>mezotelyoma</w:t>
      </w:r>
      <w:proofErr w:type="spellEnd"/>
      <w:r w:rsidRPr="004B287E">
        <w:t>, 180 kişiye asbestl</w:t>
      </w:r>
      <w:r w:rsidR="00EA6287" w:rsidRPr="004B287E">
        <w:t>e</w:t>
      </w:r>
      <w:r w:rsidRPr="004B287E">
        <w:t xml:space="preserve"> ilişkili akciğer kanseri, </w:t>
      </w:r>
      <w:r w:rsidR="00047B34" w:rsidRPr="004B287E">
        <w:t xml:space="preserve">10 kişiye asbest dışındaki nedenlerden kaynaklanan kanserler nedeniyle ödeme yapılmıştır (HSE, 2018c, s. 7). Her yıl yeni tespit edilen kanser vakaları nedeniyle yapılan ödemelerin tahmin edilen mesleki kanser sayısına oranı %17 civarındadır. </w:t>
      </w:r>
    </w:p>
    <w:p w:rsidR="008402DA" w:rsidRPr="004B287E" w:rsidRDefault="00DD54FB" w:rsidP="00AE750A">
      <w:pPr>
        <w:ind w:firstLine="567"/>
        <w:jc w:val="both"/>
      </w:pPr>
      <w:r w:rsidRPr="004B287E">
        <w:t>Türkiye'ye göre ileri bir tespit ve tazmin sistemi ol</w:t>
      </w:r>
      <w:r w:rsidR="00360A6F" w:rsidRPr="004B287E">
        <w:t>an</w:t>
      </w:r>
      <w:r w:rsidRPr="004B287E">
        <w:t xml:space="preserve"> İngiltere'de de emekçi hak </w:t>
      </w:r>
      <w:proofErr w:type="spellStart"/>
      <w:r w:rsidRPr="004B287E">
        <w:t>insiyatifleri</w:t>
      </w:r>
      <w:proofErr w:type="spellEnd"/>
      <w:r w:rsidRPr="004B287E">
        <w:t xml:space="preserve"> yaşanan sağlık sorunlarının önemli bölümünün sistem tarafından görmezden gelindiğini belirtmektedir. </w:t>
      </w:r>
      <w:proofErr w:type="gramStart"/>
      <w:r w:rsidR="00E6625C" w:rsidRPr="004B287E">
        <w:t xml:space="preserve">İngiltere'de </w:t>
      </w:r>
      <w:r w:rsidR="0084487C" w:rsidRPr="004B287E">
        <w:t xml:space="preserve">çalışanların sağlığını korumak üzere oluşturulmuş bir </w:t>
      </w:r>
      <w:proofErr w:type="spellStart"/>
      <w:r w:rsidR="0084487C" w:rsidRPr="004B287E">
        <w:t>insiyatif</w:t>
      </w:r>
      <w:proofErr w:type="spellEnd"/>
      <w:r w:rsidR="0084487C" w:rsidRPr="004B287E">
        <w:t xml:space="preserve"> olan </w:t>
      </w:r>
      <w:r w:rsidR="0084487C" w:rsidRPr="00A91BD3">
        <w:rPr>
          <w:lang w:val="en-GB"/>
        </w:rPr>
        <w:t>Hazards Campaign</w:t>
      </w:r>
      <w:r w:rsidR="0084487C" w:rsidRPr="004B287E">
        <w:t xml:space="preserve"> </w:t>
      </w:r>
      <w:r w:rsidR="00642415" w:rsidRPr="004B287E">
        <w:t xml:space="preserve">(2018, </w:t>
      </w:r>
      <w:r w:rsidR="00642415" w:rsidRPr="004B287E">
        <w:lastRenderedPageBreak/>
        <w:t>s. 4) İngiltere'de bir yıllık dönemde en az 6 milyon kişinin (</w:t>
      </w:r>
      <w:proofErr w:type="spellStart"/>
      <w:r w:rsidR="00642415" w:rsidRPr="004B287E">
        <w:t>HSE'nin</w:t>
      </w:r>
      <w:proofErr w:type="spellEnd"/>
      <w:r w:rsidR="00642415" w:rsidRPr="004B287E">
        <w:t xml:space="preserve"> belirttiğinin yaklaşık 5 katı) işle ilgili nedenlerle hastalandığını,  en az 1.464 kişinin (</w:t>
      </w:r>
      <w:proofErr w:type="spellStart"/>
      <w:r w:rsidR="00642415" w:rsidRPr="004B287E">
        <w:t>HSE'nin</w:t>
      </w:r>
      <w:proofErr w:type="spellEnd"/>
      <w:r w:rsidR="00642415" w:rsidRPr="004B287E">
        <w:t xml:space="preserve"> belirttiğinin 8 katı) iş olayları/kazaları nedeniyle, 50.000 kişinin işle ilgili hastalıklar (</w:t>
      </w:r>
      <w:proofErr w:type="spellStart"/>
      <w:r w:rsidR="00642415" w:rsidRPr="004B287E">
        <w:t>HSE'nin</w:t>
      </w:r>
      <w:proofErr w:type="spellEnd"/>
      <w:r w:rsidR="00642415" w:rsidRPr="004B287E">
        <w:t xml:space="preserve"> belirttiğinin 4 katı) nedeniyle hayatını kaybettiğini tahmin etmektedir.</w:t>
      </w:r>
      <w:r w:rsidR="008402DA" w:rsidRPr="004B287E">
        <w:t xml:space="preserve"> </w:t>
      </w:r>
      <w:proofErr w:type="gramEnd"/>
      <w:r w:rsidR="008402DA" w:rsidRPr="00A91BD3">
        <w:rPr>
          <w:lang w:val="en-GB"/>
        </w:rPr>
        <w:t>Hazards Campai</w:t>
      </w:r>
      <w:r w:rsidR="006D70F6" w:rsidRPr="00A91BD3">
        <w:rPr>
          <w:lang w:val="en-GB"/>
        </w:rPr>
        <w:t>g</w:t>
      </w:r>
      <w:r w:rsidR="008402DA" w:rsidRPr="00A91BD3">
        <w:rPr>
          <w:lang w:val="en-GB"/>
        </w:rPr>
        <w:t>n</w:t>
      </w:r>
      <w:r w:rsidR="008402DA" w:rsidRPr="004B287E">
        <w:t xml:space="preserve"> kanser hastalıkları sonucunda, en </w:t>
      </w:r>
      <w:proofErr w:type="gramStart"/>
      <w:r w:rsidR="008402DA" w:rsidRPr="004B287E">
        <w:t>az</w:t>
      </w:r>
      <w:proofErr w:type="gramEnd"/>
      <w:r w:rsidR="008402DA" w:rsidRPr="004B287E">
        <w:t xml:space="preserve"> 5.000'i asbeste bağlı kanserler olmak üzere, 18.000; kalp rahatsızlıkları sonucunda 20.000; solunum yolları hastalıkları nedeniyle 6.000; diğer işle ilgili hastalıklar (akciğer hastalıkları, nörolojik hastalıklar vb.) 6.000 ölüm oldu</w:t>
      </w:r>
      <w:r w:rsidR="006D70F6" w:rsidRPr="004B287E">
        <w:t>ğ</w:t>
      </w:r>
      <w:r w:rsidR="008402DA" w:rsidRPr="004B287E">
        <w:t>unu t</w:t>
      </w:r>
      <w:r w:rsidR="006D70F6" w:rsidRPr="004B287E">
        <w:t>a</w:t>
      </w:r>
      <w:r w:rsidR="008402DA" w:rsidRPr="004B287E">
        <w:t xml:space="preserve">hmin etmektedir. </w:t>
      </w:r>
    </w:p>
    <w:p w:rsidR="009F0F75" w:rsidRPr="004B287E" w:rsidRDefault="00D94D99" w:rsidP="00D65C41">
      <w:pPr>
        <w:pStyle w:val="TabloBal"/>
        <w:rPr>
          <w:color w:val="auto"/>
        </w:rPr>
      </w:pPr>
      <w:bookmarkStart w:id="25" w:name="_Toc536279471"/>
      <w:r w:rsidRPr="004B287E">
        <w:rPr>
          <w:b/>
          <w:color w:val="auto"/>
        </w:rPr>
        <w:t>Tablo-</w:t>
      </w:r>
      <w:r w:rsidR="00D91D3E" w:rsidRPr="004B287E">
        <w:rPr>
          <w:b/>
          <w:color w:val="auto"/>
        </w:rPr>
        <w:t>1</w:t>
      </w:r>
      <w:r w:rsidR="006253DD" w:rsidRPr="004B287E">
        <w:rPr>
          <w:b/>
          <w:color w:val="auto"/>
        </w:rPr>
        <w:t>1</w:t>
      </w:r>
      <w:r w:rsidRPr="004B287E">
        <w:rPr>
          <w:b/>
          <w:color w:val="auto"/>
        </w:rPr>
        <w:t>:</w:t>
      </w:r>
      <w:r w:rsidRPr="004B287E">
        <w:rPr>
          <w:color w:val="auto"/>
        </w:rPr>
        <w:t xml:space="preserve"> Türkiye'de beklenebilecek meslek hastalığı sonucu ölüm tahminleri, 2017</w:t>
      </w:r>
      <w:bookmarkEnd w:id="25"/>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67"/>
        <w:gridCol w:w="1032"/>
        <w:gridCol w:w="811"/>
        <w:gridCol w:w="1032"/>
        <w:gridCol w:w="926"/>
        <w:gridCol w:w="1727"/>
        <w:gridCol w:w="1134"/>
      </w:tblGrid>
      <w:tr w:rsidR="00CE4C4B" w:rsidRPr="004B287E" w:rsidTr="001650E2">
        <w:trPr>
          <w:trHeight w:val="638"/>
        </w:trPr>
        <w:tc>
          <w:tcPr>
            <w:tcW w:w="2567" w:type="dxa"/>
            <w:vMerge w:val="restart"/>
            <w:shd w:val="clear" w:color="auto" w:fill="auto"/>
            <w:noWrap/>
            <w:vAlign w:val="center"/>
          </w:tcPr>
          <w:p w:rsidR="00B21011" w:rsidRPr="004B287E" w:rsidRDefault="00B21011" w:rsidP="00CB6372">
            <w:pPr>
              <w:spacing w:after="0" w:line="240" w:lineRule="auto"/>
              <w:jc w:val="right"/>
              <w:rPr>
                <w:rFonts w:ascii="Calibri" w:eastAsia="Times New Roman" w:hAnsi="Calibri" w:cs="Calibri"/>
                <w:lang w:eastAsia="tr-TR"/>
              </w:rPr>
            </w:pPr>
          </w:p>
        </w:tc>
        <w:tc>
          <w:tcPr>
            <w:tcW w:w="1032" w:type="dxa"/>
            <w:shd w:val="clear" w:color="auto" w:fill="auto"/>
            <w:noWrap/>
            <w:vAlign w:val="center"/>
          </w:tcPr>
          <w:p w:rsidR="00B21011" w:rsidRPr="004B287E" w:rsidRDefault="00B21011" w:rsidP="001650E2">
            <w:pPr>
              <w:spacing w:after="0" w:line="240" w:lineRule="auto"/>
              <w:jc w:val="center"/>
              <w:rPr>
                <w:rFonts w:ascii="Calibri" w:eastAsia="Times New Roman" w:hAnsi="Calibri" w:cs="Calibri"/>
                <w:lang w:eastAsia="tr-TR"/>
              </w:rPr>
            </w:pPr>
            <w:r w:rsidRPr="004B287E">
              <w:rPr>
                <w:rFonts w:ascii="Calibri" w:eastAsia="Times New Roman" w:hAnsi="Calibri" w:cs="Calibri"/>
                <w:lang w:eastAsia="tr-TR"/>
              </w:rPr>
              <w:t>ILO</w:t>
            </w:r>
          </w:p>
        </w:tc>
        <w:tc>
          <w:tcPr>
            <w:tcW w:w="811" w:type="dxa"/>
            <w:shd w:val="clear" w:color="auto" w:fill="auto"/>
            <w:noWrap/>
            <w:vAlign w:val="center"/>
          </w:tcPr>
          <w:p w:rsidR="00B21011" w:rsidRPr="004B287E" w:rsidRDefault="00B21011" w:rsidP="001650E2">
            <w:pPr>
              <w:spacing w:after="0" w:line="240" w:lineRule="auto"/>
              <w:jc w:val="center"/>
              <w:rPr>
                <w:rFonts w:ascii="Calibri" w:eastAsia="Times New Roman" w:hAnsi="Calibri" w:cs="Calibri"/>
                <w:lang w:eastAsia="tr-TR"/>
              </w:rPr>
            </w:pPr>
            <w:r w:rsidRPr="004B287E">
              <w:rPr>
                <w:rFonts w:ascii="Calibri" w:eastAsia="Times New Roman" w:hAnsi="Calibri" w:cs="Calibri"/>
                <w:lang w:eastAsia="tr-TR"/>
              </w:rPr>
              <w:t>ILO (%)</w:t>
            </w:r>
          </w:p>
        </w:tc>
        <w:tc>
          <w:tcPr>
            <w:tcW w:w="1032" w:type="dxa"/>
            <w:shd w:val="clear" w:color="auto" w:fill="auto"/>
            <w:noWrap/>
            <w:vAlign w:val="center"/>
          </w:tcPr>
          <w:p w:rsidR="00B21011" w:rsidRPr="004B287E" w:rsidRDefault="00B21011" w:rsidP="001650E2">
            <w:pPr>
              <w:spacing w:after="0" w:line="240" w:lineRule="auto"/>
              <w:jc w:val="center"/>
              <w:rPr>
                <w:rFonts w:ascii="Calibri" w:eastAsia="Times New Roman" w:hAnsi="Calibri" w:cs="Calibri"/>
                <w:lang w:eastAsia="tr-TR"/>
              </w:rPr>
            </w:pPr>
            <w:r w:rsidRPr="004B287E">
              <w:rPr>
                <w:rFonts w:ascii="Calibri" w:eastAsia="Times New Roman" w:hAnsi="Calibri" w:cs="Calibri"/>
                <w:lang w:eastAsia="tr-TR"/>
              </w:rPr>
              <w:t>HSE</w:t>
            </w:r>
          </w:p>
        </w:tc>
        <w:tc>
          <w:tcPr>
            <w:tcW w:w="926" w:type="dxa"/>
            <w:shd w:val="clear" w:color="auto" w:fill="auto"/>
            <w:vAlign w:val="center"/>
          </w:tcPr>
          <w:p w:rsidR="00B21011" w:rsidRPr="004B287E" w:rsidRDefault="00B21011" w:rsidP="001650E2">
            <w:pPr>
              <w:spacing w:after="0" w:line="240" w:lineRule="auto"/>
              <w:jc w:val="center"/>
              <w:rPr>
                <w:rFonts w:ascii="Calibri" w:eastAsia="Times New Roman" w:hAnsi="Calibri" w:cs="Calibri"/>
                <w:lang w:eastAsia="tr-TR"/>
              </w:rPr>
            </w:pPr>
            <w:r w:rsidRPr="004B287E">
              <w:rPr>
                <w:rFonts w:ascii="Calibri" w:eastAsia="Times New Roman" w:hAnsi="Calibri" w:cs="Calibri"/>
                <w:lang w:eastAsia="tr-TR"/>
              </w:rPr>
              <w:t>SGK</w:t>
            </w:r>
          </w:p>
        </w:tc>
        <w:tc>
          <w:tcPr>
            <w:tcW w:w="1727" w:type="dxa"/>
            <w:shd w:val="clear" w:color="auto" w:fill="auto"/>
            <w:vAlign w:val="center"/>
          </w:tcPr>
          <w:p w:rsidR="00B21011" w:rsidRPr="004B287E" w:rsidRDefault="00B21011" w:rsidP="001650E2">
            <w:pPr>
              <w:spacing w:after="0" w:line="240" w:lineRule="auto"/>
              <w:jc w:val="center"/>
              <w:rPr>
                <w:rFonts w:ascii="Calibri" w:eastAsia="Times New Roman" w:hAnsi="Calibri" w:cs="Calibri"/>
                <w:lang w:eastAsia="tr-TR"/>
              </w:rPr>
            </w:pPr>
            <w:r w:rsidRPr="004B287E">
              <w:rPr>
                <w:rFonts w:ascii="Calibri" w:eastAsia="Times New Roman" w:hAnsi="Calibri" w:cs="Calibri"/>
                <w:lang w:eastAsia="tr-TR"/>
              </w:rPr>
              <w:t>SGK – Ölüm Geliri Bağlanan Dosya</w:t>
            </w:r>
          </w:p>
        </w:tc>
        <w:tc>
          <w:tcPr>
            <w:tcW w:w="1134" w:type="dxa"/>
            <w:shd w:val="clear" w:color="auto" w:fill="auto"/>
            <w:noWrap/>
            <w:vAlign w:val="center"/>
          </w:tcPr>
          <w:p w:rsidR="00B21011" w:rsidRPr="004B287E" w:rsidRDefault="00B21011" w:rsidP="001650E2">
            <w:pPr>
              <w:spacing w:after="0" w:line="240" w:lineRule="auto"/>
              <w:jc w:val="center"/>
              <w:rPr>
                <w:rFonts w:ascii="Calibri" w:eastAsia="Times New Roman" w:hAnsi="Calibri" w:cs="Calibri"/>
                <w:lang w:eastAsia="tr-TR"/>
              </w:rPr>
            </w:pPr>
            <w:r w:rsidRPr="004B287E">
              <w:rPr>
                <w:rFonts w:ascii="Calibri" w:eastAsia="Times New Roman" w:hAnsi="Calibri" w:cs="Calibri"/>
                <w:lang w:eastAsia="tr-TR"/>
              </w:rPr>
              <w:t>İSİG Meclisi</w:t>
            </w:r>
          </w:p>
        </w:tc>
      </w:tr>
      <w:tr w:rsidR="00CE4C4B" w:rsidRPr="004B287E" w:rsidTr="001650E2">
        <w:trPr>
          <w:trHeight w:val="154"/>
        </w:trPr>
        <w:tc>
          <w:tcPr>
            <w:tcW w:w="2567" w:type="dxa"/>
            <w:vMerge/>
            <w:shd w:val="clear" w:color="auto" w:fill="auto"/>
            <w:noWrap/>
            <w:vAlign w:val="center"/>
            <w:hideMark/>
          </w:tcPr>
          <w:p w:rsidR="00B21011" w:rsidRPr="004B287E" w:rsidRDefault="00B21011" w:rsidP="005829AD">
            <w:pPr>
              <w:spacing w:after="0" w:line="240" w:lineRule="auto"/>
              <w:jc w:val="right"/>
              <w:rPr>
                <w:rFonts w:ascii="Calibri" w:eastAsia="Times New Roman" w:hAnsi="Calibri" w:cs="Calibri"/>
                <w:lang w:eastAsia="tr-TR"/>
              </w:rPr>
            </w:pPr>
          </w:p>
        </w:tc>
        <w:tc>
          <w:tcPr>
            <w:tcW w:w="1032" w:type="dxa"/>
            <w:shd w:val="clear" w:color="auto" w:fill="auto"/>
            <w:noWrap/>
            <w:vAlign w:val="center"/>
          </w:tcPr>
          <w:p w:rsidR="00B21011" w:rsidRPr="004B287E" w:rsidRDefault="00B21011" w:rsidP="008536EA">
            <w:pPr>
              <w:spacing w:after="0" w:line="240" w:lineRule="auto"/>
              <w:jc w:val="center"/>
              <w:rPr>
                <w:rFonts w:ascii="Calibri" w:eastAsia="Times New Roman" w:hAnsi="Calibri" w:cs="Calibri"/>
                <w:i/>
                <w:lang w:eastAsia="tr-TR"/>
              </w:rPr>
            </w:pPr>
            <w:r w:rsidRPr="004B287E">
              <w:rPr>
                <w:rFonts w:ascii="Calibri" w:eastAsia="Times New Roman" w:hAnsi="Calibri" w:cs="Calibri"/>
                <w:i/>
                <w:lang w:eastAsia="tr-TR"/>
              </w:rPr>
              <w:t>1</w:t>
            </w:r>
          </w:p>
        </w:tc>
        <w:tc>
          <w:tcPr>
            <w:tcW w:w="811" w:type="dxa"/>
            <w:shd w:val="clear" w:color="auto" w:fill="auto"/>
            <w:noWrap/>
            <w:vAlign w:val="center"/>
          </w:tcPr>
          <w:p w:rsidR="00B21011" w:rsidRPr="004B287E" w:rsidRDefault="00B21011" w:rsidP="008536EA">
            <w:pPr>
              <w:spacing w:after="0" w:line="240" w:lineRule="auto"/>
              <w:jc w:val="center"/>
              <w:rPr>
                <w:rFonts w:ascii="Calibri" w:eastAsia="Times New Roman" w:hAnsi="Calibri" w:cs="Calibri"/>
                <w:i/>
                <w:lang w:eastAsia="tr-TR"/>
              </w:rPr>
            </w:pPr>
            <w:r w:rsidRPr="004B287E">
              <w:rPr>
                <w:rFonts w:ascii="Calibri" w:eastAsia="Times New Roman" w:hAnsi="Calibri" w:cs="Calibri"/>
                <w:i/>
                <w:lang w:eastAsia="tr-TR"/>
              </w:rPr>
              <w:t>2</w:t>
            </w:r>
          </w:p>
        </w:tc>
        <w:tc>
          <w:tcPr>
            <w:tcW w:w="1032" w:type="dxa"/>
            <w:shd w:val="clear" w:color="auto" w:fill="auto"/>
            <w:noWrap/>
            <w:vAlign w:val="center"/>
          </w:tcPr>
          <w:p w:rsidR="00B21011" w:rsidRPr="004B287E" w:rsidRDefault="00B21011" w:rsidP="008536EA">
            <w:pPr>
              <w:spacing w:after="0" w:line="240" w:lineRule="auto"/>
              <w:jc w:val="center"/>
              <w:rPr>
                <w:rFonts w:ascii="Calibri" w:eastAsia="Times New Roman" w:hAnsi="Calibri" w:cs="Calibri"/>
                <w:i/>
                <w:lang w:eastAsia="tr-TR"/>
              </w:rPr>
            </w:pPr>
            <w:r w:rsidRPr="004B287E">
              <w:rPr>
                <w:rFonts w:ascii="Calibri" w:eastAsia="Times New Roman" w:hAnsi="Calibri" w:cs="Calibri"/>
                <w:i/>
                <w:lang w:eastAsia="tr-TR"/>
              </w:rPr>
              <w:t>3</w:t>
            </w:r>
          </w:p>
        </w:tc>
        <w:tc>
          <w:tcPr>
            <w:tcW w:w="926" w:type="dxa"/>
            <w:shd w:val="clear" w:color="auto" w:fill="auto"/>
            <w:vAlign w:val="center"/>
          </w:tcPr>
          <w:p w:rsidR="00B21011" w:rsidRPr="004B287E" w:rsidRDefault="00B21011" w:rsidP="008536EA">
            <w:pPr>
              <w:spacing w:after="0" w:line="240" w:lineRule="auto"/>
              <w:jc w:val="center"/>
              <w:rPr>
                <w:rFonts w:ascii="Calibri" w:eastAsia="Times New Roman" w:hAnsi="Calibri" w:cs="Calibri"/>
                <w:i/>
                <w:lang w:eastAsia="tr-TR"/>
              </w:rPr>
            </w:pPr>
            <w:r w:rsidRPr="004B287E">
              <w:rPr>
                <w:rFonts w:ascii="Calibri" w:eastAsia="Times New Roman" w:hAnsi="Calibri" w:cs="Calibri"/>
                <w:i/>
                <w:lang w:eastAsia="tr-TR"/>
              </w:rPr>
              <w:t>4</w:t>
            </w:r>
          </w:p>
        </w:tc>
        <w:tc>
          <w:tcPr>
            <w:tcW w:w="1727" w:type="dxa"/>
            <w:shd w:val="clear" w:color="auto" w:fill="auto"/>
            <w:vAlign w:val="center"/>
          </w:tcPr>
          <w:p w:rsidR="00B21011" w:rsidRPr="004B287E" w:rsidRDefault="00B21011" w:rsidP="008536EA">
            <w:pPr>
              <w:spacing w:after="0" w:line="240" w:lineRule="auto"/>
              <w:jc w:val="center"/>
              <w:rPr>
                <w:rFonts w:ascii="Calibri" w:eastAsia="Times New Roman" w:hAnsi="Calibri" w:cs="Calibri"/>
                <w:i/>
                <w:lang w:eastAsia="tr-TR"/>
              </w:rPr>
            </w:pPr>
            <w:r w:rsidRPr="004B287E">
              <w:rPr>
                <w:rFonts w:ascii="Calibri" w:eastAsia="Times New Roman" w:hAnsi="Calibri" w:cs="Calibri"/>
                <w:i/>
                <w:lang w:eastAsia="tr-TR"/>
              </w:rPr>
              <w:t>5</w:t>
            </w:r>
          </w:p>
        </w:tc>
        <w:tc>
          <w:tcPr>
            <w:tcW w:w="1134" w:type="dxa"/>
            <w:shd w:val="clear" w:color="auto" w:fill="auto"/>
            <w:noWrap/>
            <w:vAlign w:val="center"/>
            <w:hideMark/>
          </w:tcPr>
          <w:p w:rsidR="00B21011" w:rsidRPr="004B287E" w:rsidRDefault="00B21011" w:rsidP="008536EA">
            <w:pPr>
              <w:spacing w:after="0" w:line="240" w:lineRule="auto"/>
              <w:jc w:val="center"/>
              <w:rPr>
                <w:rFonts w:ascii="Calibri" w:eastAsia="Times New Roman" w:hAnsi="Calibri" w:cs="Calibri"/>
                <w:i/>
                <w:lang w:eastAsia="tr-TR"/>
              </w:rPr>
            </w:pPr>
            <w:r w:rsidRPr="004B287E">
              <w:rPr>
                <w:rFonts w:ascii="Calibri" w:eastAsia="Times New Roman" w:hAnsi="Calibri" w:cs="Calibri"/>
                <w:i/>
                <w:lang w:eastAsia="tr-TR"/>
              </w:rPr>
              <w:t>6</w:t>
            </w:r>
          </w:p>
        </w:tc>
      </w:tr>
      <w:tr w:rsidR="00CE4C4B" w:rsidRPr="004B287E" w:rsidTr="001650E2">
        <w:trPr>
          <w:trHeight w:val="300"/>
        </w:trPr>
        <w:tc>
          <w:tcPr>
            <w:tcW w:w="2567" w:type="dxa"/>
            <w:shd w:val="clear" w:color="auto" w:fill="auto"/>
            <w:noWrap/>
            <w:vAlign w:val="center"/>
            <w:hideMark/>
          </w:tcPr>
          <w:p w:rsidR="00360D7F" w:rsidRPr="004B287E" w:rsidRDefault="00360D7F" w:rsidP="00CB6372">
            <w:pPr>
              <w:spacing w:after="0" w:line="240" w:lineRule="auto"/>
              <w:rPr>
                <w:rFonts w:ascii="Calibri" w:eastAsia="Times New Roman" w:hAnsi="Calibri" w:cs="Calibri"/>
                <w:lang w:eastAsia="tr-TR"/>
              </w:rPr>
            </w:pPr>
            <w:r w:rsidRPr="004B287E">
              <w:rPr>
                <w:rFonts w:ascii="Calibri" w:eastAsia="Times New Roman" w:hAnsi="Calibri" w:cs="Calibri"/>
                <w:lang w:eastAsia="tr-TR"/>
              </w:rPr>
              <w:t>İş kazası sonucu ölüm</w:t>
            </w:r>
          </w:p>
        </w:tc>
        <w:tc>
          <w:tcPr>
            <w:tcW w:w="1032" w:type="dxa"/>
            <w:shd w:val="clear" w:color="auto" w:fill="auto"/>
            <w:noWrap/>
            <w:vAlign w:val="center"/>
            <w:hideMark/>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380.000</w:t>
            </w:r>
          </w:p>
        </w:tc>
        <w:tc>
          <w:tcPr>
            <w:tcW w:w="811" w:type="dxa"/>
            <w:shd w:val="clear" w:color="auto" w:fill="auto"/>
            <w:noWrap/>
            <w:vAlign w:val="center"/>
            <w:hideMark/>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13,7</w:t>
            </w:r>
          </w:p>
        </w:tc>
        <w:tc>
          <w:tcPr>
            <w:tcW w:w="1032" w:type="dxa"/>
            <w:shd w:val="clear" w:color="auto" w:fill="auto"/>
            <w:noWrap/>
            <w:vAlign w:val="center"/>
            <w:hideMark/>
          </w:tcPr>
          <w:p w:rsidR="00360D7F" w:rsidRPr="004B287E" w:rsidRDefault="00360D7F" w:rsidP="00360D7F">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144</w:t>
            </w:r>
          </w:p>
        </w:tc>
        <w:tc>
          <w:tcPr>
            <w:tcW w:w="926" w:type="dxa"/>
            <w:shd w:val="clear" w:color="auto" w:fill="auto"/>
            <w:vAlign w:val="center"/>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1.636</w:t>
            </w:r>
          </w:p>
        </w:tc>
        <w:tc>
          <w:tcPr>
            <w:tcW w:w="1727" w:type="dxa"/>
            <w:shd w:val="clear" w:color="auto" w:fill="auto"/>
            <w:vAlign w:val="center"/>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2.962</w:t>
            </w:r>
          </w:p>
        </w:tc>
        <w:tc>
          <w:tcPr>
            <w:tcW w:w="1134" w:type="dxa"/>
            <w:vMerge w:val="restart"/>
            <w:shd w:val="clear" w:color="auto" w:fill="auto"/>
            <w:noWrap/>
            <w:vAlign w:val="center"/>
            <w:hideMark/>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2.006</w:t>
            </w:r>
          </w:p>
        </w:tc>
      </w:tr>
      <w:tr w:rsidR="00CE4C4B" w:rsidRPr="004B287E" w:rsidTr="001650E2">
        <w:trPr>
          <w:trHeight w:val="300"/>
        </w:trPr>
        <w:tc>
          <w:tcPr>
            <w:tcW w:w="2567" w:type="dxa"/>
            <w:shd w:val="clear" w:color="auto" w:fill="auto"/>
            <w:noWrap/>
            <w:vAlign w:val="center"/>
            <w:hideMark/>
          </w:tcPr>
          <w:p w:rsidR="00360D7F" w:rsidRPr="004B287E" w:rsidRDefault="00360D7F" w:rsidP="00CB6372">
            <w:pPr>
              <w:spacing w:after="0" w:line="240" w:lineRule="auto"/>
              <w:rPr>
                <w:rFonts w:ascii="Calibri" w:eastAsia="Times New Roman" w:hAnsi="Calibri" w:cs="Calibri"/>
                <w:lang w:eastAsia="tr-TR"/>
              </w:rPr>
            </w:pPr>
            <w:r w:rsidRPr="004B287E">
              <w:rPr>
                <w:rFonts w:ascii="Calibri" w:eastAsia="Times New Roman" w:hAnsi="Calibri" w:cs="Calibri"/>
                <w:lang w:eastAsia="tr-TR"/>
              </w:rPr>
              <w:t>İşle ilgili hastalıklar sonucu ölüm</w:t>
            </w:r>
          </w:p>
        </w:tc>
        <w:tc>
          <w:tcPr>
            <w:tcW w:w="1032" w:type="dxa"/>
            <w:shd w:val="clear" w:color="auto" w:fill="auto"/>
            <w:noWrap/>
            <w:vAlign w:val="center"/>
            <w:hideMark/>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2.400.000</w:t>
            </w:r>
          </w:p>
        </w:tc>
        <w:tc>
          <w:tcPr>
            <w:tcW w:w="811" w:type="dxa"/>
            <w:shd w:val="clear" w:color="auto" w:fill="auto"/>
            <w:noWrap/>
            <w:vAlign w:val="center"/>
            <w:hideMark/>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86,3</w:t>
            </w:r>
          </w:p>
        </w:tc>
        <w:tc>
          <w:tcPr>
            <w:tcW w:w="1032" w:type="dxa"/>
            <w:shd w:val="clear" w:color="auto" w:fill="auto"/>
            <w:noWrap/>
            <w:vAlign w:val="center"/>
          </w:tcPr>
          <w:p w:rsidR="00360D7F" w:rsidRPr="004B287E" w:rsidRDefault="00360D7F" w:rsidP="00360D7F">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13.000</w:t>
            </w:r>
          </w:p>
        </w:tc>
        <w:tc>
          <w:tcPr>
            <w:tcW w:w="926" w:type="dxa"/>
            <w:shd w:val="clear" w:color="auto" w:fill="auto"/>
            <w:vAlign w:val="center"/>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0</w:t>
            </w:r>
          </w:p>
        </w:tc>
        <w:tc>
          <w:tcPr>
            <w:tcW w:w="1727" w:type="dxa"/>
            <w:shd w:val="clear" w:color="auto" w:fill="auto"/>
            <w:vAlign w:val="center"/>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284</w:t>
            </w:r>
          </w:p>
        </w:tc>
        <w:tc>
          <w:tcPr>
            <w:tcW w:w="1134" w:type="dxa"/>
            <w:vMerge/>
            <w:shd w:val="clear" w:color="auto" w:fill="auto"/>
            <w:noWrap/>
            <w:vAlign w:val="center"/>
          </w:tcPr>
          <w:p w:rsidR="00360D7F" w:rsidRPr="004B287E" w:rsidRDefault="00360D7F" w:rsidP="00CB6372">
            <w:pPr>
              <w:spacing w:after="0" w:line="240" w:lineRule="auto"/>
              <w:jc w:val="right"/>
              <w:rPr>
                <w:rFonts w:ascii="Calibri" w:eastAsia="Times New Roman" w:hAnsi="Calibri" w:cs="Calibri"/>
                <w:lang w:eastAsia="tr-TR"/>
              </w:rPr>
            </w:pPr>
          </w:p>
        </w:tc>
      </w:tr>
      <w:tr w:rsidR="00CE4C4B" w:rsidRPr="004B287E" w:rsidTr="001650E2">
        <w:trPr>
          <w:trHeight w:val="300"/>
        </w:trPr>
        <w:tc>
          <w:tcPr>
            <w:tcW w:w="2567" w:type="dxa"/>
            <w:shd w:val="clear" w:color="auto" w:fill="auto"/>
            <w:noWrap/>
            <w:vAlign w:val="center"/>
          </w:tcPr>
          <w:p w:rsidR="00360D7F" w:rsidRPr="004B287E" w:rsidRDefault="00360D7F" w:rsidP="00CB6372">
            <w:pPr>
              <w:spacing w:after="0" w:line="240" w:lineRule="auto"/>
              <w:rPr>
                <w:rFonts w:ascii="Calibri" w:eastAsia="Times New Roman" w:hAnsi="Calibri" w:cs="Calibri"/>
                <w:lang w:eastAsia="tr-TR"/>
              </w:rPr>
            </w:pPr>
            <w:r w:rsidRPr="004B287E">
              <w:rPr>
                <w:rFonts w:ascii="Calibri" w:eastAsia="Times New Roman" w:hAnsi="Calibri" w:cs="Calibri"/>
                <w:lang w:eastAsia="tr-TR"/>
              </w:rPr>
              <w:t>Türkiye'de işle ilgili hastalıklar sonucunda beklenebilecek ölüm sayısı</w:t>
            </w:r>
          </w:p>
        </w:tc>
        <w:tc>
          <w:tcPr>
            <w:tcW w:w="1032" w:type="dxa"/>
            <w:shd w:val="clear" w:color="auto" w:fill="auto"/>
            <w:noWrap/>
            <w:vAlign w:val="center"/>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w:t>
            </w:r>
          </w:p>
        </w:tc>
        <w:tc>
          <w:tcPr>
            <w:tcW w:w="811" w:type="dxa"/>
            <w:shd w:val="clear" w:color="auto" w:fill="auto"/>
            <w:noWrap/>
            <w:vAlign w:val="center"/>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w:t>
            </w:r>
          </w:p>
        </w:tc>
        <w:tc>
          <w:tcPr>
            <w:tcW w:w="1032" w:type="dxa"/>
            <w:shd w:val="clear" w:color="auto" w:fill="auto"/>
            <w:noWrap/>
            <w:vAlign w:val="center"/>
          </w:tcPr>
          <w:p w:rsidR="00360D7F" w:rsidRPr="004B287E" w:rsidRDefault="00360D7F" w:rsidP="00360D7F">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w:t>
            </w:r>
          </w:p>
        </w:tc>
        <w:tc>
          <w:tcPr>
            <w:tcW w:w="926" w:type="dxa"/>
            <w:shd w:val="clear" w:color="auto" w:fill="auto"/>
            <w:vAlign w:val="center"/>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10.332</w:t>
            </w:r>
          </w:p>
        </w:tc>
        <w:tc>
          <w:tcPr>
            <w:tcW w:w="1727" w:type="dxa"/>
            <w:shd w:val="clear" w:color="auto" w:fill="auto"/>
            <w:vAlign w:val="center"/>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18.700</w:t>
            </w:r>
          </w:p>
        </w:tc>
        <w:tc>
          <w:tcPr>
            <w:tcW w:w="1134" w:type="dxa"/>
            <w:shd w:val="clear" w:color="auto" w:fill="auto"/>
            <w:noWrap/>
            <w:vAlign w:val="center"/>
          </w:tcPr>
          <w:p w:rsidR="00360D7F" w:rsidRPr="004B287E" w:rsidRDefault="00360D7F" w:rsidP="00CB6372">
            <w:pPr>
              <w:spacing w:after="0" w:line="240" w:lineRule="auto"/>
              <w:jc w:val="right"/>
              <w:rPr>
                <w:rFonts w:ascii="Calibri" w:eastAsia="Times New Roman" w:hAnsi="Calibri" w:cs="Calibri"/>
                <w:lang w:eastAsia="tr-TR"/>
              </w:rPr>
            </w:pPr>
            <w:r w:rsidRPr="004B287E">
              <w:rPr>
                <w:rFonts w:ascii="Calibri" w:eastAsia="Times New Roman" w:hAnsi="Calibri" w:cs="Calibri"/>
                <w:lang w:eastAsia="tr-TR"/>
              </w:rPr>
              <w:t>12.000</w:t>
            </w:r>
          </w:p>
        </w:tc>
      </w:tr>
    </w:tbl>
    <w:p w:rsidR="009F0F75" w:rsidRPr="004B287E" w:rsidRDefault="00D94D99">
      <w:pPr>
        <w:rPr>
          <w:i/>
        </w:rPr>
      </w:pPr>
      <w:r w:rsidRPr="004B287E">
        <w:rPr>
          <w:b/>
          <w:i/>
        </w:rPr>
        <w:t>Kaynaklar</w:t>
      </w:r>
      <w:r w:rsidRPr="004B287E">
        <w:rPr>
          <w:i/>
        </w:rPr>
        <w:t xml:space="preserve">: ILO, 2018, S. 7; SGK </w:t>
      </w:r>
      <w:r w:rsidR="00CB6372" w:rsidRPr="004B287E">
        <w:rPr>
          <w:i/>
        </w:rPr>
        <w:t>2017 İstatistikleri; İSİG Meclisi 2017 Yılı İş Cinayetleri Raporu.</w:t>
      </w:r>
    </w:p>
    <w:p w:rsidR="00360D7F" w:rsidRPr="004B287E" w:rsidRDefault="00360D7F" w:rsidP="00AE750A">
      <w:pPr>
        <w:ind w:firstLine="567"/>
        <w:jc w:val="both"/>
      </w:pPr>
      <w:r w:rsidRPr="004B287E">
        <w:t>Tablo-</w:t>
      </w:r>
      <w:r w:rsidR="00D91D3E" w:rsidRPr="004B287E">
        <w:t>1</w:t>
      </w:r>
      <w:r w:rsidR="006253DD" w:rsidRPr="004B287E">
        <w:t>1</w:t>
      </w:r>
      <w:r w:rsidRPr="004B287E">
        <w:t>'</w:t>
      </w:r>
      <w:r w:rsidR="00D91D3E" w:rsidRPr="004B287E">
        <w:t>d</w:t>
      </w:r>
      <w:r w:rsidR="006253DD" w:rsidRPr="004B287E">
        <w:t>e</w:t>
      </w:r>
      <w:r w:rsidRPr="004B287E">
        <w:t xml:space="preserve"> ILO verilerine göre Türkiye'de işle ilgili hastalık sonucunda beklenebilecek ölüm sayısı konusunda tahminler yer almaktadır. ILO'nun (2018) aktardığı tahminlere göre dünyada her yıl meydana gelen iş kazası sonucu ölümlerin 6,3 katı sayıda ölüm işle ilgili hastalıklar sonucunda meydana gelmektedir. </w:t>
      </w:r>
      <w:r w:rsidR="008536EA" w:rsidRPr="004B287E">
        <w:t>Bu veriler Türkiye'ye ilişkin 3 veriyle (SGK</w:t>
      </w:r>
      <w:r w:rsidR="001A656C" w:rsidRPr="004B287E">
        <w:t xml:space="preserve"> iş kazası sonucu ölüm</w:t>
      </w:r>
      <w:r w:rsidR="008536EA" w:rsidRPr="004B287E">
        <w:t xml:space="preserve">, SGK ölüm geliri bağlanan dosya sayısı ve İSİG Meclisi) oranlandığında işle ilgili hastalık sonucu beklenen ölüm sayısı 10 bin ile 18 bin arasında değişmektedir. </w:t>
      </w:r>
    </w:p>
    <w:p w:rsidR="00C96123" w:rsidRPr="004B287E" w:rsidRDefault="002804F8" w:rsidP="007104AF">
      <w:pPr>
        <w:pStyle w:val="Balk2"/>
        <w:numPr>
          <w:ilvl w:val="0"/>
          <w:numId w:val="10"/>
        </w:numPr>
        <w:jc w:val="both"/>
      </w:pPr>
      <w:bookmarkStart w:id="26" w:name="_Toc536280784"/>
      <w:r w:rsidRPr="004B287E">
        <w:t>Değerlendirme ve Öneriler</w:t>
      </w:r>
      <w:bookmarkEnd w:id="26"/>
    </w:p>
    <w:p w:rsidR="002804F8" w:rsidRPr="004B287E" w:rsidRDefault="002804F8" w:rsidP="002804F8">
      <w:pPr>
        <w:spacing w:before="120" w:after="120"/>
        <w:ind w:left="66" w:firstLine="501"/>
        <w:jc w:val="both"/>
      </w:pPr>
      <w:r w:rsidRPr="004B287E">
        <w:t xml:space="preserve">Türkiye'de işçi sağlığı ve iş güvenliği sisteminin </w:t>
      </w:r>
      <w:r w:rsidR="00507840" w:rsidRPr="004B287E">
        <w:t xml:space="preserve">önemli sorunları olduğu, insanların yaşamlarını </w:t>
      </w:r>
      <w:r w:rsidR="00771EDE" w:rsidRPr="004B287E">
        <w:t xml:space="preserve">sürdürmek için çalışırken sağlıklarını ve yaşamlarını kaybettiği bilinmektedir. </w:t>
      </w:r>
      <w:r w:rsidR="00507840" w:rsidRPr="004B287E">
        <w:t xml:space="preserve"> </w:t>
      </w:r>
      <w:r w:rsidR="00771EDE" w:rsidRPr="004B287E">
        <w:t xml:space="preserve">Sosyal Haklar Derneği, işçi sağlığı ve iş güvenliğindeki uygunsuzluklardan kaynaklanan sağlık sorunlarını, yaralanmaları, engellilikleri </w:t>
      </w:r>
      <w:proofErr w:type="gramStart"/>
      <w:r w:rsidR="00771EDE" w:rsidRPr="004B287E">
        <w:t>ve,</w:t>
      </w:r>
      <w:proofErr w:type="gramEnd"/>
      <w:r w:rsidR="00771EDE" w:rsidRPr="004B287E">
        <w:t xml:space="preserve"> en ağır sonuç olan, iş cinayetlerini "</w:t>
      </w:r>
      <w:r w:rsidR="00771EDE" w:rsidRPr="004B287E">
        <w:rPr>
          <w:b/>
        </w:rPr>
        <w:t>sosyal cinayet</w:t>
      </w:r>
      <w:r w:rsidR="00771EDE" w:rsidRPr="004B287E">
        <w:t>" düzeninin bir parçası olarak görmektedir.</w:t>
      </w:r>
    </w:p>
    <w:p w:rsidR="002804F8" w:rsidRPr="004B287E" w:rsidRDefault="002804F8" w:rsidP="002804F8">
      <w:pPr>
        <w:spacing w:before="120" w:after="120"/>
        <w:ind w:left="66" w:firstLine="501"/>
        <w:jc w:val="both"/>
      </w:pPr>
      <w:r w:rsidRPr="004B287E">
        <w:t xml:space="preserve">İşçi sağlığı ve iş güvenliğindeki sorunların bir yansıması olan iş kazası ve meslek hastalıkları verilerinde önemli sorunlar bulunmaktadır. SGK verilerinde tutarsızlık ve eksikler bulunmaktadır. En başta SGK verileri ekonomik olarak aktif olanların yaklaşık olarak 1/3'ünü oluşturan kayıt dışı çalıştırılanları kapsamamaktadır. </w:t>
      </w:r>
      <w:r w:rsidR="00A849D4" w:rsidRPr="004B287E">
        <w:t>Ayrıca iş kazası ve meslek hastalıklarını kapsayan "kısa vadeli sigorta kolları" kamu çalışanlarını da</w:t>
      </w:r>
      <w:r w:rsidR="00987E33" w:rsidRPr="004B287E">
        <w:t xml:space="preserve"> dışta bırakmaktadır. Bu nedenle SGK verileri, kamu çalışanlarının hangi tür sağlık sorunları yaşadığını, ne tür kazalar geçirdiğini yansıtmamaktadır. </w:t>
      </w:r>
    </w:p>
    <w:p w:rsidR="00B27387" w:rsidRPr="004B287E" w:rsidRDefault="00B27387" w:rsidP="00B27387">
      <w:pPr>
        <w:spacing w:before="120" w:after="120"/>
        <w:ind w:left="66" w:firstLine="501"/>
        <w:jc w:val="both"/>
        <w:rPr>
          <w:b/>
        </w:rPr>
      </w:pPr>
      <w:r w:rsidRPr="004B287E">
        <w:t xml:space="preserve">Öte yandan SGK verilerinde yer alan iş kazası ve meslek hastalığı sonucu ölümler kamuoyu tarafından bilinen sayılardan daha yüksektir. 2004-2017 döneminde </w:t>
      </w:r>
      <w:proofErr w:type="spellStart"/>
      <w:r w:rsidRPr="004B287E">
        <w:t>SGK'nın</w:t>
      </w:r>
      <w:proofErr w:type="spellEnd"/>
      <w:r w:rsidRPr="004B287E">
        <w:t xml:space="preserve"> verilerini açıkladığı 17.806 ölüm olayına karşılık aynı dönemde </w:t>
      </w:r>
      <w:r w:rsidR="00E1381C">
        <w:t>SGK "</w:t>
      </w:r>
      <w:r w:rsidRPr="004B287E">
        <w:t>iş kazası ve meslek hastalığı sonucu</w:t>
      </w:r>
      <w:r w:rsidR="00E1381C">
        <w:t xml:space="preserve"> ölüm</w:t>
      </w:r>
      <w:r w:rsidR="00A27807">
        <w:t>"</w:t>
      </w:r>
      <w:r w:rsidR="00E1381C">
        <w:t xml:space="preserve"> olarak tanımladığı</w:t>
      </w:r>
      <w:r w:rsidRPr="004B287E">
        <w:t xml:space="preserve"> 31.266 kişinin hak sahiplerine ölüm geliri bağlanmıştır. </w:t>
      </w:r>
      <w:r w:rsidR="00E1381C">
        <w:t xml:space="preserve">SGK verilerinde yer alan ve "iş kazası ve meslek hastalığı sonucu ölenlerin ölüm geliri bağlanan hak sahipleri" olarak tanımlanan dosyaların içinde sürekli iş göremezlik geliri alırken ölenlerin olup olmadığını ve diğer bilgileri açıklamak </w:t>
      </w:r>
      <w:proofErr w:type="spellStart"/>
      <w:r w:rsidR="00E1381C">
        <w:t>SGK'nın</w:t>
      </w:r>
      <w:proofErr w:type="spellEnd"/>
      <w:r w:rsidR="00E1381C">
        <w:t xml:space="preserve"> sorumluluğundadır. </w:t>
      </w:r>
    </w:p>
    <w:p w:rsidR="00A849D4" w:rsidRPr="004B287E" w:rsidRDefault="002804F8" w:rsidP="00A849D4">
      <w:pPr>
        <w:ind w:firstLine="567"/>
        <w:jc w:val="both"/>
      </w:pPr>
      <w:r w:rsidRPr="004B287E">
        <w:lastRenderedPageBreak/>
        <w:t>6331 sayılı İSG Kanunu'nda sistemin kritik bir unsur</w:t>
      </w:r>
      <w:r w:rsidR="00987E33" w:rsidRPr="004B287E">
        <w:t>u olan risk değerlendirmelerinde</w:t>
      </w:r>
      <w:r w:rsidRPr="004B287E">
        <w:t xml:space="preserve"> </w:t>
      </w:r>
      <w:r w:rsidR="00987E33" w:rsidRPr="004B287E">
        <w:t xml:space="preserve">risklerin doğru tanımlanması </w:t>
      </w:r>
      <w:r w:rsidRPr="004B287E">
        <w:t xml:space="preserve">ancak </w:t>
      </w:r>
      <w:r w:rsidR="00987E33" w:rsidRPr="004B287E">
        <w:t>yeterli ve</w:t>
      </w:r>
      <w:r w:rsidRPr="004B287E">
        <w:t xml:space="preserve"> sağlıklı veri</w:t>
      </w:r>
      <w:r w:rsidR="00987E33" w:rsidRPr="004B287E">
        <w:t>ye ulaşılabildiğinde</w:t>
      </w:r>
      <w:r w:rsidRPr="004B287E">
        <w:t xml:space="preserve"> mümkündür. SGK gibi kurumlar tarafından sunulan verilerin işyerlerine, iş güvenliği uzmanlarına, işyeri hekimlerine, iş müfettişlerine, bakanlığa ve araştırmacılara işçi sağlığı ve iş güvenliği sistemindeki sorunlu noktaları göstererek çözüm doğrultusunda adım atılmasına vesile olması beklenir. SGK verileri iş kazası ve meslek hastalıklarının gerçekleştiği faaliyet alanları, meslekler, işyeri büyüklükleri, şehirler, çalışanın işyerinde çalışma süresi, günlük çalışma süresi, kaza veya hastalığın oluş biçimi gibi birçok ayrıntıyı içermektedir. Ancak, SGK iş göremezlik ve ölüm olaylarında kesinleşen dosyalar için bile bu konudaki verileri istatistiğin ilgili bölümlerine işlemeyerek önemli bilgi eksiğine yol açmaktadır. Bu bilgi eksiği </w:t>
      </w:r>
      <w:r w:rsidR="00987E33" w:rsidRPr="004B287E">
        <w:t xml:space="preserve">iş kazaları ve </w:t>
      </w:r>
      <w:r w:rsidRPr="004B287E">
        <w:t xml:space="preserve">meslek hastalıklarının </w:t>
      </w:r>
      <w:r w:rsidR="00987E33" w:rsidRPr="004B287E">
        <w:t>önlenmesi</w:t>
      </w:r>
      <w:r w:rsidRPr="004B287E">
        <w:t xml:space="preserve"> için yapılması gereken çalışmalara zarar vermektedir.</w:t>
      </w:r>
      <w:r w:rsidR="00A849D4" w:rsidRPr="004B287E">
        <w:t xml:space="preserve"> </w:t>
      </w:r>
      <w:r w:rsidR="00B27387" w:rsidRPr="004B287E">
        <w:t xml:space="preserve">SGK hastalığın türü, kaza nedeni, faaliyet alanı, meslek, işyeri büyüklüğü gibi verileri sürekli iş göremezlik ve ölüm geliri bağlananları da kapsayacak şekilde düzenleyerek yayınlamalıdır. Kamu çalışanlarının işle ilgili sağlık sorunları ve geçirdikleri kazalara ilişkin olarak kamuoyunu bilgilendirmelidir. </w:t>
      </w:r>
    </w:p>
    <w:p w:rsidR="001650E2" w:rsidRPr="004B287E" w:rsidRDefault="001650E2" w:rsidP="00AE750A">
      <w:pPr>
        <w:spacing w:before="120" w:after="120"/>
        <w:ind w:left="66" w:firstLine="501"/>
        <w:jc w:val="both"/>
      </w:pPr>
      <w:r w:rsidRPr="004B287E">
        <w:t xml:space="preserve">Türkiye'de meslek hastalığı tespitleri bilinçli ve sistematik olarak gerçekleştirilmemektedir. Uluslararası veriler göz önünde tutularak bir değerlendirme yapıldığında Türkiye'de yılda beklenen işle ilgili hastalık sonucu ölüm sayısı 10-18 bin arasındadır. </w:t>
      </w:r>
      <w:r w:rsidR="000B19B4" w:rsidRPr="004B287E">
        <w:t>İşten kaynaklanan hastalıkların tespit edilmemesi</w:t>
      </w:r>
      <w:r w:rsidR="00A849D4" w:rsidRPr="004B287E">
        <w:t xml:space="preserve"> ve</w:t>
      </w:r>
      <w:r w:rsidR="000B19B4" w:rsidRPr="004B287E">
        <w:t xml:space="preserve"> hastalıklara yol açanların cezasız kalmasına güvenen işverenler sağlığı bozucu faktörlere karşı önlem almamaktadır. Böylece her gün ve her gün yeni</w:t>
      </w:r>
      <w:r w:rsidR="00A849D4" w:rsidRPr="004B287E">
        <w:t xml:space="preserve"> hastalıklar ile</w:t>
      </w:r>
      <w:r w:rsidR="000B19B4" w:rsidRPr="004B287E">
        <w:t xml:space="preserve"> ölümlere yol açılmaktadır. Çalıştığı işten dolayı sağlığı bozulanlar ise çeşitli nedenlerle işten çıkarılmakta, yeni iş bulmakta zorlanmakta, yoksullukları artmaktadır. Daha ağır vakalarda ise işçiler işten kaynaklı hastalıklar nedeniyle hayatını kaybetmekte, aileleri ise hastalığın nedeninin yaptığı iş olduğunu kanıtlayamadıkları için ne tazminat, ne de </w:t>
      </w:r>
      <w:proofErr w:type="spellStart"/>
      <w:r w:rsidR="000B19B4" w:rsidRPr="004B287E">
        <w:t>SGK'nın</w:t>
      </w:r>
      <w:proofErr w:type="spellEnd"/>
      <w:r w:rsidR="000B19B4" w:rsidRPr="004B287E">
        <w:t xml:space="preserve"> ödemesi gereken ölüm gelirini alabilmekte, yakınlarını kaybetmenin acılarına ağır yoksulluk eklenmektedir. Meslek hastalıklarının tespit edilmesi için dava açan aileler yıllarca sürecek, yıpratıcı bir mücadeleyi göz</w:t>
      </w:r>
      <w:r w:rsidR="002804F8" w:rsidRPr="004B287E">
        <w:t>e almak zorunda kalmakta ve bir</w:t>
      </w:r>
      <w:r w:rsidR="000B19B4" w:rsidRPr="004B287E">
        <w:t>çoğu peşini bırakmaktadır.</w:t>
      </w:r>
    </w:p>
    <w:p w:rsidR="002804F8" w:rsidRPr="004B287E" w:rsidRDefault="002804F8" w:rsidP="002804F8">
      <w:pPr>
        <w:ind w:firstLine="567"/>
        <w:jc w:val="both"/>
      </w:pPr>
      <w:r w:rsidRPr="004B287E">
        <w:t xml:space="preserve">İş kazaları ve meslek hastalıklarının tespit edilmemesinin sonuçlarını yaklaşık 1 yıl önce yayınladığımız "2017 İşçi/Emekçi Hak İhlalleri Raporu"nda (SHD, 2017) aşağıdaki şekilde açıklamıştık: </w:t>
      </w:r>
    </w:p>
    <w:p w:rsidR="002804F8" w:rsidRPr="004B287E" w:rsidRDefault="002804F8" w:rsidP="002804F8">
      <w:pPr>
        <w:pStyle w:val="ListeParagraf"/>
        <w:numPr>
          <w:ilvl w:val="0"/>
          <w:numId w:val="7"/>
        </w:numPr>
        <w:ind w:left="426"/>
        <w:jc w:val="both"/>
      </w:pPr>
      <w:r w:rsidRPr="004B287E">
        <w:rPr>
          <w:b/>
        </w:rPr>
        <w:t>Sorumluların (patronların vb.) “kazancı”</w:t>
      </w:r>
      <w:r w:rsidRPr="004B287E">
        <w:t xml:space="preserve">: İşçinin meslek hastalığına yakalanmasına neden olan patronlar ve diğer sorumlu yöneticiler ceza davaları, rücu davaları ve tazminat davalarından kurtulmaktadır. Meslek hastalıklarının tespit edilmeyeceğine güvenen işyerleri bu hastalıklara neden olan çalışma şartlarını değiştirecek önlemleri almak için harcama yapmak zorunda kalmamaktadır. </w:t>
      </w:r>
    </w:p>
    <w:p w:rsidR="002804F8" w:rsidRPr="004B287E" w:rsidRDefault="002804F8" w:rsidP="002804F8">
      <w:pPr>
        <w:pStyle w:val="ListeParagraf"/>
        <w:numPr>
          <w:ilvl w:val="0"/>
          <w:numId w:val="7"/>
        </w:numPr>
        <w:ind w:left="426"/>
        <w:jc w:val="both"/>
      </w:pPr>
      <w:r w:rsidRPr="004B287E">
        <w:rPr>
          <w:b/>
        </w:rPr>
        <w:t>Hükümet’in “kazancı”:</w:t>
      </w:r>
      <w:r w:rsidRPr="004B287E">
        <w:t xml:space="preserve"> </w:t>
      </w:r>
      <w:proofErr w:type="spellStart"/>
      <w:r w:rsidRPr="004B287E">
        <w:t>SGK’nın</w:t>
      </w:r>
      <w:proofErr w:type="spellEnd"/>
      <w:r w:rsidRPr="004B287E">
        <w:t xml:space="preserve"> “</w:t>
      </w:r>
      <w:proofErr w:type="spellStart"/>
      <w:r w:rsidRPr="004B287E">
        <w:t>aktüeryal</w:t>
      </w:r>
      <w:proofErr w:type="spellEnd"/>
      <w:r w:rsidRPr="004B287E">
        <w:t>” dengeleri bozulmamakta, şartların iyileştirilmesi için -sermaye kesimleriyle ilişkilerin bozulmasına neden olabilecek- yasal ve denetlemeye dayalı yükümlülüklerden kurtulmakta, ülkedeki meslek hastalıklarının durumu gizlenebilmektedir. Meslek hastalıkları nedeniyle çalışamaz duruma gelenlere veya ölenlerin ailelerine “hak” temelli olan ödemeler yerine, daha düşük miktarlarda olan ve iktidarların inayetine bağlı olan “yardımlar” yapılarak kişiler ve aileler “bağımlı” hale getirilmektedir.</w:t>
      </w:r>
    </w:p>
    <w:p w:rsidR="002804F8" w:rsidRPr="004B287E" w:rsidRDefault="002804F8" w:rsidP="002804F8">
      <w:pPr>
        <w:pStyle w:val="ListeParagraf"/>
        <w:numPr>
          <w:ilvl w:val="0"/>
          <w:numId w:val="7"/>
        </w:numPr>
        <w:ind w:left="426"/>
        <w:jc w:val="both"/>
      </w:pPr>
      <w:proofErr w:type="spellStart"/>
      <w:r w:rsidRPr="004B287E">
        <w:rPr>
          <w:b/>
        </w:rPr>
        <w:t>SGK’nın</w:t>
      </w:r>
      <w:proofErr w:type="spellEnd"/>
      <w:r w:rsidRPr="004B287E">
        <w:rPr>
          <w:b/>
        </w:rPr>
        <w:t xml:space="preserve"> “kazancı”:</w:t>
      </w:r>
      <w:r w:rsidRPr="004B287E">
        <w:t xml:space="preserve"> SGK on binlerce insan için “iş göremezlik geliri” veya hak sahiplerine (aile ve kişinin geçimini sağladığı diğer kişiler) “gelir” bağlamaktan kurtulmaktadır.</w:t>
      </w:r>
    </w:p>
    <w:p w:rsidR="002804F8" w:rsidRPr="004B287E" w:rsidRDefault="002804F8" w:rsidP="002804F8">
      <w:pPr>
        <w:pStyle w:val="ListeParagraf"/>
        <w:numPr>
          <w:ilvl w:val="0"/>
          <w:numId w:val="7"/>
        </w:numPr>
        <w:ind w:left="426"/>
        <w:jc w:val="both"/>
      </w:pPr>
      <w:r w:rsidRPr="004B287E">
        <w:rPr>
          <w:b/>
        </w:rPr>
        <w:t>Kaybedenler</w:t>
      </w:r>
      <w:r w:rsidRPr="004B287E">
        <w:t>: Yukarıda bahsedilen “</w:t>
      </w:r>
      <w:proofErr w:type="spellStart"/>
      <w:r w:rsidRPr="004B287E">
        <w:t>kazançlar”a</w:t>
      </w:r>
      <w:proofErr w:type="spellEnd"/>
      <w:r w:rsidRPr="004B287E">
        <w:t xml:space="preserve"> karşılık hastalık ve ölümlerin acı ve manevi yıkımı yanında maddi yükü de meslek hastalığına yakalananlar ile ailelerinin üzerinde kalmaktadır. Hasta yapan ve öldüren çalışma ortamı devam ederek her yıl binlerce yeni kişinin hastalanmasına ve ölmesine yol açmaktadır. </w:t>
      </w:r>
    </w:p>
    <w:p w:rsidR="002804F8" w:rsidRPr="004B287E" w:rsidRDefault="00E26168" w:rsidP="002804F8">
      <w:pPr>
        <w:pStyle w:val="ListeParagraf"/>
        <w:ind w:left="0" w:firstLine="501"/>
        <w:jc w:val="both"/>
      </w:pPr>
      <w:r w:rsidRPr="004B287E">
        <w:lastRenderedPageBreak/>
        <w:t xml:space="preserve">Toplumsal eşitsizlikler ve yoksulluk tüm sosyal cinayetleri birbirine bağlamaktadır. Soma madencileri ile Aladağ'da çocuklarının eğitimi için tarikat yurtlarına </w:t>
      </w:r>
      <w:proofErr w:type="gramStart"/>
      <w:r w:rsidRPr="004B287E">
        <w:t>mahkum</w:t>
      </w:r>
      <w:proofErr w:type="gramEnd"/>
      <w:r w:rsidRPr="004B287E">
        <w:t xml:space="preserve"> edilenler, Şirvan madencileri ile Çorlu'daki tren faciasının mağdurları, tahtakurularına ve kötü çalışma koşullarına karşı sesini yükselten 3. Havalimanı işçileriyle krizin etkilerinin emekçilere yıkılmasına karşı mücadeleyi sürdürenler ve eşitlik, özgürlük için mücadele edenler birbirine omuz vererek sosyal cinayet düzenini yenecektir. </w:t>
      </w:r>
    </w:p>
    <w:p w:rsidR="002804F8" w:rsidRPr="004B287E" w:rsidRDefault="002804F8" w:rsidP="00AE750A">
      <w:pPr>
        <w:pStyle w:val="ListeParagraf"/>
        <w:ind w:left="0" w:firstLine="501"/>
        <w:jc w:val="both"/>
      </w:pPr>
    </w:p>
    <w:p w:rsidR="00866B85" w:rsidRPr="004B287E" w:rsidRDefault="00866B85" w:rsidP="00AE750A">
      <w:pPr>
        <w:pStyle w:val="ListeParagraf"/>
        <w:ind w:left="567"/>
        <w:jc w:val="both"/>
        <w:rPr>
          <w:b/>
        </w:rPr>
      </w:pPr>
      <w:r w:rsidRPr="004B287E">
        <w:rPr>
          <w:b/>
        </w:rPr>
        <w:t>Öneri ve Talepler</w:t>
      </w:r>
    </w:p>
    <w:p w:rsidR="00E26168" w:rsidRPr="004B287E" w:rsidRDefault="00E26168" w:rsidP="007104AF">
      <w:pPr>
        <w:pStyle w:val="ListeParagraf"/>
        <w:ind w:left="0"/>
        <w:jc w:val="both"/>
      </w:pPr>
      <w:r w:rsidRPr="004B287E">
        <w:t xml:space="preserve">Önümüzdeki süreçte işçi sağlığı ve iş güvenliği şartlarının iyileştirilmesi için talep ve önerilerimiz şöyledir: </w:t>
      </w:r>
    </w:p>
    <w:p w:rsidR="00FF445B" w:rsidRPr="004B287E" w:rsidRDefault="00FF445B" w:rsidP="00FF445B">
      <w:pPr>
        <w:pStyle w:val="ListeParagraf"/>
        <w:numPr>
          <w:ilvl w:val="0"/>
          <w:numId w:val="5"/>
        </w:numPr>
        <w:ind w:left="284" w:hanging="218"/>
        <w:jc w:val="both"/>
      </w:pPr>
      <w:r w:rsidRPr="004B287E">
        <w:t xml:space="preserve">İşçi sağlığı ve iş güvenliği politikalarının belirlenmesinde ve uygulanmasında emekçilerin örgütlü gücünü temsil eden sendikalar ile meslek örgütleri sürecin aktif katılımcısı olmalıdır. Tüm emek ve meslek örgütleri ile demokratik örgütlenmeler çalışanların sağlık ve güvenliği mücadelesini geliştirecek şekilde çalışmalarını ve birliklerini güçlendirmelidir. </w:t>
      </w:r>
    </w:p>
    <w:p w:rsidR="00FF445B" w:rsidRPr="004B287E" w:rsidRDefault="00FF445B" w:rsidP="00FF445B">
      <w:pPr>
        <w:pStyle w:val="ListeParagraf"/>
        <w:numPr>
          <w:ilvl w:val="0"/>
          <w:numId w:val="5"/>
        </w:numPr>
        <w:ind w:left="284" w:hanging="218"/>
        <w:jc w:val="both"/>
      </w:pPr>
      <w:r w:rsidRPr="004B287E">
        <w:t xml:space="preserve">Örgütlenme hakkının önündeki engeller kaldırılmalı, emekçilerin hak aramaları kolaylaştırılmalıdır. </w:t>
      </w:r>
    </w:p>
    <w:p w:rsidR="000134D7" w:rsidRPr="004B287E" w:rsidRDefault="0082616D" w:rsidP="007104AF">
      <w:pPr>
        <w:pStyle w:val="ListeParagraf"/>
        <w:numPr>
          <w:ilvl w:val="0"/>
          <w:numId w:val="5"/>
        </w:numPr>
        <w:ind w:left="284" w:hanging="218"/>
        <w:jc w:val="both"/>
      </w:pPr>
      <w:r w:rsidRPr="004B287E">
        <w:t xml:space="preserve">İşçi sağlığı ve iş güvenliği ile güvenceli çalışma hakkı birbiriyle yakından ilişkili haklardır. </w:t>
      </w:r>
      <w:r w:rsidR="0008295E" w:rsidRPr="004B287E">
        <w:t>Emekçilerin i</w:t>
      </w:r>
      <w:r w:rsidRPr="004B287E">
        <w:t>ş güvencesi kuvvetlendirilmelidir.</w:t>
      </w:r>
    </w:p>
    <w:p w:rsidR="0082616D" w:rsidRPr="004B287E" w:rsidRDefault="0082616D" w:rsidP="007104AF">
      <w:pPr>
        <w:pStyle w:val="ListeParagraf"/>
        <w:numPr>
          <w:ilvl w:val="0"/>
          <w:numId w:val="5"/>
        </w:numPr>
        <w:ind w:left="284" w:hanging="218"/>
        <w:jc w:val="both"/>
      </w:pPr>
      <w:r w:rsidRPr="004B287E">
        <w:t xml:space="preserve">Emekçilerin üzerindeki işsizlik baskısı kaldırılmalıdır. Bu doğrultuda keyfi işten çıkarmalar yasaklanmalı, işsizlik sigortasından yararlanma koşulları kolaylaştırılmalı ve işsizlere sağlanan faydalar artırılmalıdır. </w:t>
      </w:r>
    </w:p>
    <w:p w:rsidR="0082616D" w:rsidRPr="004B287E" w:rsidRDefault="0082616D" w:rsidP="007104AF">
      <w:pPr>
        <w:pStyle w:val="ListeParagraf"/>
        <w:numPr>
          <w:ilvl w:val="0"/>
          <w:numId w:val="5"/>
        </w:numPr>
        <w:ind w:left="284" w:hanging="218"/>
        <w:jc w:val="both"/>
      </w:pPr>
      <w:r w:rsidRPr="004B287E">
        <w:t>28 Nisan tarihi "</w:t>
      </w:r>
      <w:r w:rsidRPr="004B287E">
        <w:rPr>
          <w:b/>
        </w:rPr>
        <w:t>İş Cinayetlerinde Ölenleri Anma ve Yas Günü</w:t>
      </w:r>
      <w:r w:rsidRPr="004B287E">
        <w:t xml:space="preserve">" olarak ilan edilmeli ve ilgili dönemde işçi sağlığı ve iş güvenliği konusundaki etkinlikler yoğunlaştırılmalıdır. </w:t>
      </w:r>
    </w:p>
    <w:p w:rsidR="00FF445B" w:rsidRPr="004B287E" w:rsidRDefault="0082616D" w:rsidP="007104AF">
      <w:pPr>
        <w:pStyle w:val="ListeParagraf"/>
        <w:numPr>
          <w:ilvl w:val="0"/>
          <w:numId w:val="5"/>
        </w:numPr>
        <w:ind w:left="284" w:hanging="218"/>
        <w:jc w:val="both"/>
        <w:rPr>
          <w:b/>
        </w:rPr>
      </w:pPr>
      <w:r w:rsidRPr="004B287E">
        <w:t xml:space="preserve">Meslek hastalıkları ve işle ilgili hastalıkların üstünün örtülmesi politikasına son verilmelidir. </w:t>
      </w:r>
    </w:p>
    <w:p w:rsidR="0082616D" w:rsidRPr="004B287E" w:rsidRDefault="0082616D" w:rsidP="007104AF">
      <w:pPr>
        <w:pStyle w:val="ListeParagraf"/>
        <w:numPr>
          <w:ilvl w:val="0"/>
          <w:numId w:val="5"/>
        </w:numPr>
        <w:ind w:left="284" w:hanging="218"/>
        <w:jc w:val="both"/>
        <w:rPr>
          <w:b/>
        </w:rPr>
      </w:pPr>
      <w:r w:rsidRPr="004B287E">
        <w:rPr>
          <w:b/>
        </w:rPr>
        <w:t>Meslek Hastalıklarını Tespit Et, Tedavi Et, Tazminat Öde, Sorumluları Cezalandır, Önle!</w:t>
      </w:r>
    </w:p>
    <w:p w:rsidR="0008295E" w:rsidRPr="004B287E" w:rsidRDefault="0008295E" w:rsidP="0008295E">
      <w:pPr>
        <w:pStyle w:val="ListeParagraf"/>
        <w:ind w:left="0"/>
      </w:pPr>
    </w:p>
    <w:p w:rsidR="00F27E97" w:rsidRPr="004B287E" w:rsidRDefault="006E3FE3" w:rsidP="00A705FB">
      <w:pPr>
        <w:pStyle w:val="Balk2"/>
      </w:pPr>
      <w:bookmarkStart w:id="27" w:name="_Toc536280785"/>
      <w:r w:rsidRPr="004B287E">
        <w:t>Kaynaklar</w:t>
      </w:r>
      <w:r w:rsidR="00D55CF3" w:rsidRPr="004B287E">
        <w:t>:</w:t>
      </w:r>
      <w:bookmarkEnd w:id="27"/>
    </w:p>
    <w:p w:rsidR="000134D7" w:rsidRPr="004B287E" w:rsidRDefault="000134D7" w:rsidP="00EA0316">
      <w:pPr>
        <w:pStyle w:val="ListeParagraf"/>
        <w:numPr>
          <w:ilvl w:val="0"/>
          <w:numId w:val="3"/>
        </w:numPr>
        <w:tabs>
          <w:tab w:val="left" w:pos="284"/>
        </w:tabs>
        <w:ind w:left="709" w:hanging="709"/>
      </w:pPr>
      <w:r w:rsidRPr="004B287E">
        <w:t xml:space="preserve">Çelik, Aziz. 2015. İşçi Ölümleri Bilinenin İki Katı. </w:t>
      </w:r>
      <w:proofErr w:type="spellStart"/>
      <w:r w:rsidRPr="004B287E">
        <w:t>Birgün</w:t>
      </w:r>
      <w:proofErr w:type="spellEnd"/>
      <w:r w:rsidRPr="004B287E">
        <w:t xml:space="preserve"> (19.03.2015). Web: https://www.birgun.net/haber-detay/isci-olumleri-bilinenin-iki-kati-80120.html (Erişim Tarihi: 22.11.2018)</w:t>
      </w:r>
    </w:p>
    <w:p w:rsidR="000134D7" w:rsidRPr="004B287E" w:rsidRDefault="000134D7" w:rsidP="00EA0316">
      <w:pPr>
        <w:pStyle w:val="ListeParagraf"/>
        <w:numPr>
          <w:ilvl w:val="0"/>
          <w:numId w:val="3"/>
        </w:numPr>
        <w:tabs>
          <w:tab w:val="left" w:pos="284"/>
        </w:tabs>
        <w:ind w:left="709" w:hanging="709"/>
      </w:pPr>
      <w:r w:rsidRPr="004B287E">
        <w:t>ÇSGB. 2009. Ulusal İş Sağlığı ve Güvenliği Politika Belgesi II (2009-2013).</w:t>
      </w:r>
    </w:p>
    <w:p w:rsidR="007A39A9" w:rsidRPr="004B287E" w:rsidRDefault="000134D7" w:rsidP="007A39A9">
      <w:pPr>
        <w:pStyle w:val="ListeParagraf"/>
        <w:numPr>
          <w:ilvl w:val="0"/>
          <w:numId w:val="3"/>
        </w:numPr>
        <w:tabs>
          <w:tab w:val="left" w:pos="284"/>
        </w:tabs>
        <w:ind w:left="709" w:hanging="709"/>
      </w:pPr>
      <w:r w:rsidRPr="004B287E">
        <w:rPr>
          <w:rFonts w:ascii="Calibri" w:eastAsia="Times New Roman" w:hAnsi="Calibri" w:cs="Calibri"/>
          <w:lang w:eastAsia="tr-TR"/>
        </w:rPr>
        <w:t>ÇSGB. 2012. 6331 Sayılı İş Sağlığı ve Güvenliği Kanunu. Ankara.</w:t>
      </w:r>
    </w:p>
    <w:p w:rsidR="007A39A9" w:rsidRPr="004B287E" w:rsidRDefault="007A39A9" w:rsidP="007A39A9">
      <w:pPr>
        <w:pStyle w:val="ListeParagraf"/>
        <w:numPr>
          <w:ilvl w:val="0"/>
          <w:numId w:val="3"/>
        </w:numPr>
        <w:tabs>
          <w:tab w:val="left" w:pos="284"/>
        </w:tabs>
        <w:ind w:left="709" w:hanging="709"/>
      </w:pPr>
      <w:r w:rsidRPr="004B287E">
        <w:rPr>
          <w:rFonts w:ascii="Calibri" w:eastAsia="Times New Roman" w:hAnsi="Calibri" w:cs="Calibri"/>
          <w:lang w:eastAsia="tr-TR"/>
        </w:rPr>
        <w:t>ÇSGB. 2018. 2018 Ocak 6356 İşçi Sendika İstatistikleri</w:t>
      </w:r>
    </w:p>
    <w:p w:rsidR="00D21381" w:rsidRPr="004B287E" w:rsidRDefault="00D21381" w:rsidP="00EA0316">
      <w:pPr>
        <w:pStyle w:val="ListeParagraf"/>
        <w:numPr>
          <w:ilvl w:val="0"/>
          <w:numId w:val="3"/>
        </w:numPr>
        <w:tabs>
          <w:tab w:val="left" w:pos="284"/>
        </w:tabs>
        <w:ind w:left="709" w:hanging="709"/>
      </w:pPr>
      <w:r w:rsidRPr="004B287E">
        <w:t>Engels</w:t>
      </w:r>
      <w:r w:rsidR="009F0F75" w:rsidRPr="004B287E">
        <w:t xml:space="preserve">, F. 1845. </w:t>
      </w:r>
      <w:r w:rsidRPr="004B287E">
        <w:t>İngiltere’de Emekçi Sınıfın Durumu</w:t>
      </w:r>
      <w:r w:rsidR="00D55CF3" w:rsidRPr="004B287E">
        <w:t xml:space="preserve"> </w:t>
      </w:r>
      <w:r w:rsidR="009F0F75" w:rsidRPr="004B287E">
        <w:t>Aktaran: http://haber.sol.org.tr/blog/sinifin-sagligi/sinifin-sagligi/eng</w:t>
      </w:r>
      <w:r w:rsidR="00D55CF3" w:rsidRPr="004B287E">
        <w:t>elsten-toplumsal-cinayet-123557</w:t>
      </w:r>
    </w:p>
    <w:p w:rsidR="000134D7" w:rsidRPr="004B287E" w:rsidRDefault="000134D7" w:rsidP="00EA0316">
      <w:pPr>
        <w:pStyle w:val="ListeParagraf"/>
        <w:numPr>
          <w:ilvl w:val="0"/>
          <w:numId w:val="3"/>
        </w:numPr>
        <w:tabs>
          <w:tab w:val="left" w:pos="284"/>
        </w:tabs>
        <w:ind w:left="709" w:hanging="709"/>
      </w:pPr>
      <w:proofErr w:type="spellStart"/>
      <w:r w:rsidRPr="004B287E">
        <w:t>Eurostat</w:t>
      </w:r>
      <w:proofErr w:type="spellEnd"/>
      <w:r w:rsidRPr="004B287E">
        <w:t xml:space="preserve">. 2018. </w:t>
      </w:r>
      <w:proofErr w:type="spellStart"/>
      <w:r w:rsidRPr="004B287E">
        <w:t>Fatal</w:t>
      </w:r>
      <w:proofErr w:type="spellEnd"/>
      <w:r w:rsidRPr="004B287E">
        <w:t xml:space="preserve"> </w:t>
      </w:r>
      <w:proofErr w:type="spellStart"/>
      <w:r w:rsidRPr="004B287E">
        <w:t>Accidents</w:t>
      </w:r>
      <w:proofErr w:type="spellEnd"/>
      <w:r w:rsidRPr="004B287E">
        <w:t xml:space="preserve"> at </w:t>
      </w:r>
      <w:proofErr w:type="spellStart"/>
      <w:r w:rsidRPr="004B287E">
        <w:t>work</w:t>
      </w:r>
      <w:proofErr w:type="spellEnd"/>
      <w:r w:rsidRPr="004B287E">
        <w:t xml:space="preserve"> </w:t>
      </w:r>
      <w:proofErr w:type="spellStart"/>
      <w:r w:rsidRPr="004B287E">
        <w:t>by</w:t>
      </w:r>
      <w:proofErr w:type="spellEnd"/>
      <w:r w:rsidRPr="004B287E">
        <w:t xml:space="preserve"> NACE </w:t>
      </w:r>
      <w:proofErr w:type="spellStart"/>
      <w:r w:rsidRPr="004B287E">
        <w:t>rev</w:t>
      </w:r>
      <w:proofErr w:type="spellEnd"/>
      <w:r w:rsidRPr="004B287E">
        <w:t xml:space="preserve">.2 </w:t>
      </w:r>
      <w:proofErr w:type="spellStart"/>
      <w:r w:rsidRPr="004B287E">
        <w:t>activity</w:t>
      </w:r>
      <w:proofErr w:type="spellEnd"/>
      <w:r w:rsidRPr="004B287E">
        <w:t xml:space="preserve"> [hsw_n2_02]</w:t>
      </w:r>
    </w:p>
    <w:p w:rsidR="000134D7" w:rsidRPr="004B287E" w:rsidRDefault="000134D7" w:rsidP="00EA0316">
      <w:pPr>
        <w:pStyle w:val="ListeParagraf"/>
        <w:numPr>
          <w:ilvl w:val="0"/>
          <w:numId w:val="3"/>
        </w:numPr>
        <w:tabs>
          <w:tab w:val="left" w:pos="284"/>
        </w:tabs>
        <w:ind w:left="709" w:hanging="709"/>
      </w:pPr>
      <w:r w:rsidRPr="004B287E">
        <w:t xml:space="preserve">Güven, R. (2012). </w:t>
      </w:r>
      <w:proofErr w:type="gramStart"/>
      <w:r w:rsidRPr="004B287E">
        <w:t xml:space="preserve">Dünyada ve Ülkemizde Meslek Hastalıkları. </w:t>
      </w:r>
      <w:proofErr w:type="gramEnd"/>
      <w:r w:rsidRPr="004B287E">
        <w:t xml:space="preserve">Web: </w:t>
      </w:r>
      <w:r w:rsidR="00085854" w:rsidRPr="004B287E">
        <w:fldChar w:fldCharType="begin"/>
      </w:r>
      <w:r w:rsidRPr="004B287E">
        <w:instrText xml:space="preserve"> HYPERLINK "http://www.hisam.hacettepe.edu.tr/calistaysunum/HavvaRanaGuven.pdf" </w:instrText>
      </w:r>
      <w:r w:rsidR="00085854" w:rsidRPr="004B287E">
        <w:fldChar w:fldCharType="separate"/>
      </w:r>
      <w:r w:rsidRPr="004B287E">
        <w:t>www.hisam.hacettepe.edu.tr/calistaysunum/HavvaRanaGuven.pdf</w:t>
      </w:r>
    </w:p>
    <w:p w:rsidR="009F0F75" w:rsidRPr="004B287E" w:rsidRDefault="00085854" w:rsidP="00EA0316">
      <w:pPr>
        <w:pStyle w:val="ListeParagraf"/>
        <w:numPr>
          <w:ilvl w:val="0"/>
          <w:numId w:val="3"/>
        </w:numPr>
        <w:tabs>
          <w:tab w:val="left" w:pos="284"/>
        </w:tabs>
        <w:ind w:left="709" w:hanging="709"/>
      </w:pPr>
      <w:r w:rsidRPr="004B287E">
        <w:fldChar w:fldCharType="end"/>
      </w:r>
      <w:r w:rsidR="009F0F75" w:rsidRPr="004B287E">
        <w:t xml:space="preserve"> </w:t>
      </w:r>
      <w:proofErr w:type="spellStart"/>
      <w:r w:rsidR="009F0F75" w:rsidRPr="004B287E">
        <w:t>Hazards</w:t>
      </w:r>
      <w:proofErr w:type="spellEnd"/>
      <w:r w:rsidR="009F0F75" w:rsidRPr="004B287E">
        <w:t xml:space="preserve"> </w:t>
      </w:r>
      <w:proofErr w:type="spellStart"/>
      <w:r w:rsidR="009F0F75" w:rsidRPr="004B287E">
        <w:t>Campaign</w:t>
      </w:r>
      <w:proofErr w:type="spellEnd"/>
      <w:r w:rsidR="009F0F75" w:rsidRPr="004B287E">
        <w:t xml:space="preserve">. 2018. </w:t>
      </w:r>
      <w:proofErr w:type="spellStart"/>
      <w:r w:rsidR="009F0F75" w:rsidRPr="004B287E">
        <w:t>The</w:t>
      </w:r>
      <w:proofErr w:type="spellEnd"/>
      <w:r w:rsidR="009F0F75" w:rsidRPr="004B287E">
        <w:t xml:space="preserve"> </w:t>
      </w:r>
      <w:proofErr w:type="spellStart"/>
      <w:r w:rsidR="009F0F75" w:rsidRPr="004B287E">
        <w:t>Whole</w:t>
      </w:r>
      <w:proofErr w:type="spellEnd"/>
      <w:r w:rsidR="009F0F75" w:rsidRPr="004B287E">
        <w:t xml:space="preserve"> </w:t>
      </w:r>
      <w:proofErr w:type="spellStart"/>
      <w:r w:rsidR="009F0F75" w:rsidRPr="004B287E">
        <w:t>Story</w:t>
      </w:r>
      <w:proofErr w:type="spellEnd"/>
      <w:r w:rsidR="009F0F75" w:rsidRPr="004B287E">
        <w:t xml:space="preserve">. </w:t>
      </w:r>
      <w:proofErr w:type="spellStart"/>
      <w:r w:rsidR="009F0F75" w:rsidRPr="004B287E">
        <w:t>Work</w:t>
      </w:r>
      <w:proofErr w:type="spellEnd"/>
      <w:r w:rsidR="009F0F75" w:rsidRPr="004B287E">
        <w:t>-</w:t>
      </w:r>
      <w:proofErr w:type="spellStart"/>
      <w:r w:rsidR="009F0F75" w:rsidRPr="004B287E">
        <w:t>related</w:t>
      </w:r>
      <w:proofErr w:type="spellEnd"/>
      <w:r w:rsidR="009F0F75" w:rsidRPr="004B287E">
        <w:t xml:space="preserve"> </w:t>
      </w:r>
      <w:proofErr w:type="spellStart"/>
      <w:r w:rsidR="009F0F75" w:rsidRPr="004B287E">
        <w:t>injuries</w:t>
      </w:r>
      <w:proofErr w:type="spellEnd"/>
      <w:r w:rsidR="009F0F75" w:rsidRPr="004B287E">
        <w:t xml:space="preserve">, </w:t>
      </w:r>
      <w:proofErr w:type="spellStart"/>
      <w:r w:rsidR="009F0F75" w:rsidRPr="004B287E">
        <w:t>illness</w:t>
      </w:r>
      <w:proofErr w:type="spellEnd"/>
      <w:r w:rsidR="009F0F75" w:rsidRPr="004B287E">
        <w:t xml:space="preserve"> </w:t>
      </w:r>
      <w:proofErr w:type="spellStart"/>
      <w:r w:rsidR="009F0F75" w:rsidRPr="004B287E">
        <w:t>and</w:t>
      </w:r>
      <w:proofErr w:type="spellEnd"/>
      <w:r w:rsidR="009F0F75" w:rsidRPr="004B287E">
        <w:t xml:space="preserve"> </w:t>
      </w:r>
      <w:proofErr w:type="spellStart"/>
      <w:r w:rsidR="009F0F75" w:rsidRPr="004B287E">
        <w:t>deaths</w:t>
      </w:r>
      <w:proofErr w:type="spellEnd"/>
      <w:r w:rsidR="009F0F75" w:rsidRPr="004B287E">
        <w:t xml:space="preserve">. </w:t>
      </w:r>
      <w:proofErr w:type="spellStart"/>
      <w:r w:rsidR="009F0F75" w:rsidRPr="004B287E">
        <w:t>August</w:t>
      </w:r>
      <w:proofErr w:type="spellEnd"/>
      <w:r w:rsidR="009F0F75" w:rsidRPr="004B287E">
        <w:t xml:space="preserve"> 2018 (</w:t>
      </w:r>
      <w:proofErr w:type="spellStart"/>
      <w:r w:rsidR="009F0F75" w:rsidRPr="004B287E">
        <w:t>Updated</w:t>
      </w:r>
      <w:proofErr w:type="spellEnd"/>
      <w:r w:rsidR="009F0F75" w:rsidRPr="004B287E">
        <w:t>)</w:t>
      </w:r>
    </w:p>
    <w:p w:rsidR="000134D7" w:rsidRPr="004B287E" w:rsidRDefault="000134D7" w:rsidP="00EA0316">
      <w:pPr>
        <w:pStyle w:val="ListeParagraf"/>
        <w:numPr>
          <w:ilvl w:val="0"/>
          <w:numId w:val="3"/>
        </w:numPr>
        <w:tabs>
          <w:tab w:val="left" w:pos="284"/>
        </w:tabs>
        <w:ind w:left="709" w:hanging="709"/>
        <w:rPr>
          <w:lang w:val="en-GB"/>
        </w:rPr>
      </w:pPr>
      <w:r w:rsidRPr="004B287E">
        <w:t xml:space="preserve">HSE. 2018.  </w:t>
      </w:r>
      <w:r w:rsidRPr="004B287E">
        <w:rPr>
          <w:lang w:val="en-GB"/>
        </w:rPr>
        <w:t>European Comparisons. Summary of UK Performance</w:t>
      </w:r>
    </w:p>
    <w:p w:rsidR="000134D7" w:rsidRPr="004B287E" w:rsidRDefault="000134D7" w:rsidP="00EA0316">
      <w:pPr>
        <w:pStyle w:val="ListeParagraf"/>
        <w:numPr>
          <w:ilvl w:val="0"/>
          <w:numId w:val="3"/>
        </w:numPr>
        <w:tabs>
          <w:tab w:val="left" w:pos="284"/>
        </w:tabs>
        <w:ind w:left="709" w:hanging="709"/>
        <w:rPr>
          <w:lang w:val="en-GB"/>
        </w:rPr>
      </w:pPr>
      <w:r w:rsidRPr="004B287E">
        <w:rPr>
          <w:lang w:val="en-GB"/>
        </w:rPr>
        <w:t>HSE. 2018b. Health and safety at work. Summary statistics for Great Britain 2018</w:t>
      </w:r>
    </w:p>
    <w:p w:rsidR="000134D7" w:rsidRPr="004B287E" w:rsidRDefault="000134D7" w:rsidP="00EA0316">
      <w:pPr>
        <w:pStyle w:val="ListeParagraf"/>
        <w:numPr>
          <w:ilvl w:val="0"/>
          <w:numId w:val="3"/>
        </w:numPr>
        <w:tabs>
          <w:tab w:val="left" w:pos="284"/>
        </w:tabs>
        <w:ind w:left="709" w:hanging="709"/>
        <w:rPr>
          <w:lang w:val="en-GB"/>
        </w:rPr>
      </w:pPr>
      <w:r w:rsidRPr="004B287E">
        <w:rPr>
          <w:lang w:val="en-GB"/>
        </w:rPr>
        <w:t>HSE. 2018c. Occupational Cancer in Great Britain</w:t>
      </w:r>
    </w:p>
    <w:p w:rsidR="000134D7" w:rsidRPr="004B287E" w:rsidRDefault="000134D7" w:rsidP="00EA0316">
      <w:pPr>
        <w:pStyle w:val="ListeParagraf"/>
        <w:numPr>
          <w:ilvl w:val="0"/>
          <w:numId w:val="3"/>
        </w:numPr>
        <w:tabs>
          <w:tab w:val="left" w:pos="284"/>
        </w:tabs>
        <w:ind w:left="709" w:hanging="709"/>
        <w:rPr>
          <w:lang w:val="en-GB"/>
        </w:rPr>
      </w:pPr>
      <w:r w:rsidRPr="004B287E">
        <w:rPr>
          <w:lang w:val="en-GB"/>
        </w:rPr>
        <w:t xml:space="preserve">ILO. 2013. The Prevention of Occupational Diseases. </w:t>
      </w:r>
    </w:p>
    <w:p w:rsidR="000134D7" w:rsidRPr="004B287E" w:rsidRDefault="000134D7" w:rsidP="00EA0316">
      <w:pPr>
        <w:pStyle w:val="ListeParagraf"/>
        <w:numPr>
          <w:ilvl w:val="0"/>
          <w:numId w:val="3"/>
        </w:numPr>
        <w:tabs>
          <w:tab w:val="left" w:pos="284"/>
        </w:tabs>
        <w:ind w:left="709" w:hanging="709"/>
        <w:rPr>
          <w:lang w:val="en-GB"/>
        </w:rPr>
      </w:pPr>
      <w:r w:rsidRPr="004B287E">
        <w:rPr>
          <w:lang w:val="en-GB"/>
        </w:rPr>
        <w:t xml:space="preserve">ILO. 2018. Improving Safety and Health of Young Workers. </w:t>
      </w:r>
    </w:p>
    <w:p w:rsidR="000134D7" w:rsidRPr="004B287E" w:rsidRDefault="000134D7" w:rsidP="00EA0316">
      <w:pPr>
        <w:pStyle w:val="ListeParagraf"/>
        <w:numPr>
          <w:ilvl w:val="0"/>
          <w:numId w:val="3"/>
        </w:numPr>
        <w:tabs>
          <w:tab w:val="left" w:pos="284"/>
        </w:tabs>
        <w:ind w:left="709" w:hanging="709"/>
      </w:pPr>
      <w:r w:rsidRPr="004B287E">
        <w:t>İşçi Sağlığı ve İş Güvenliği (İSİG) Meclisi</w:t>
      </w:r>
      <w:r w:rsidR="00CB6372" w:rsidRPr="004B287E">
        <w:t>. İş Cinayetleri</w:t>
      </w:r>
      <w:r w:rsidRPr="004B287E">
        <w:t xml:space="preserve"> Raporları</w:t>
      </w:r>
      <w:r w:rsidR="00360D7F" w:rsidRPr="004B287E">
        <w:t xml:space="preserve"> (</w:t>
      </w:r>
      <w:proofErr w:type="gramStart"/>
      <w:r w:rsidR="00360D7F" w:rsidRPr="004B287E">
        <w:t>2011 …</w:t>
      </w:r>
      <w:proofErr w:type="gramEnd"/>
      <w:r w:rsidR="00360D7F" w:rsidRPr="004B287E">
        <w:t xml:space="preserve"> 2017)</w:t>
      </w:r>
    </w:p>
    <w:p w:rsidR="000134D7" w:rsidRPr="004B287E" w:rsidRDefault="000134D7" w:rsidP="00EA0316">
      <w:pPr>
        <w:pStyle w:val="ListeParagraf"/>
        <w:numPr>
          <w:ilvl w:val="0"/>
          <w:numId w:val="3"/>
        </w:numPr>
        <w:tabs>
          <w:tab w:val="left" w:pos="284"/>
        </w:tabs>
        <w:ind w:left="709" w:hanging="709"/>
      </w:pPr>
      <w:r w:rsidRPr="004B287E">
        <w:lastRenderedPageBreak/>
        <w:t>Müezzinoğlu, A. ve A. Tellioğlu. 2016. 'Türk mucizesi': Meslek hastalıkları sıfırlanıyor. Web: http://politeknik.org.tr/turk-mucizesi-meslek-hastaliklari-sifirlaniyor-dr-arif-muezzinoglu-dr-ahmet-tellioglu/ (Erişim tarihi 19.11.2018)</w:t>
      </w:r>
    </w:p>
    <w:p w:rsidR="006E3FE3" w:rsidRPr="004B287E" w:rsidRDefault="00D55CF3" w:rsidP="00EA0316">
      <w:pPr>
        <w:pStyle w:val="ListeParagraf"/>
        <w:numPr>
          <w:ilvl w:val="0"/>
          <w:numId w:val="3"/>
        </w:numPr>
        <w:tabs>
          <w:tab w:val="left" w:pos="284"/>
        </w:tabs>
        <w:ind w:left="709" w:hanging="709"/>
      </w:pPr>
      <w:r w:rsidRPr="004B287E">
        <w:t>SGK İstatistik Yıllıkları</w:t>
      </w:r>
    </w:p>
    <w:p w:rsidR="000134D7" w:rsidRPr="004B287E" w:rsidRDefault="000134D7" w:rsidP="00EA0316">
      <w:pPr>
        <w:pStyle w:val="ListeParagraf"/>
        <w:numPr>
          <w:ilvl w:val="0"/>
          <w:numId w:val="3"/>
        </w:numPr>
        <w:tabs>
          <w:tab w:val="left" w:pos="284"/>
        </w:tabs>
        <w:ind w:left="709" w:hanging="709"/>
      </w:pPr>
      <w:r w:rsidRPr="004B287E">
        <w:t xml:space="preserve">Sosyal Haklar Derneği. 2017. SHD 2017 İşçi/Emekçi Hak İhlalleri Raporu: Umutlu Bir Yıl için Mücadeleye Devam. Web: http://sosyalhaklardernegi.org/shd-2017-isci-emekci-hak-ihlalleri-raporu-umutlu-bir-yil-icin-mucadeleye-devam/ </w:t>
      </w:r>
    </w:p>
    <w:p w:rsidR="00E1381C" w:rsidRDefault="00E1381C" w:rsidP="00EA0316">
      <w:pPr>
        <w:pStyle w:val="ListeParagraf"/>
        <w:numPr>
          <w:ilvl w:val="0"/>
          <w:numId w:val="3"/>
        </w:numPr>
        <w:tabs>
          <w:tab w:val="left" w:pos="284"/>
        </w:tabs>
        <w:ind w:left="709" w:hanging="709"/>
      </w:pPr>
      <w:proofErr w:type="gramStart"/>
      <w:r>
        <w:t xml:space="preserve">Sosyal Sigorta İşlemleri Yönetmeliği. </w:t>
      </w:r>
      <w:proofErr w:type="gramEnd"/>
      <w:r>
        <w:t>Resmi Gazete Tarihi: 12.05.2010, RG Sayısı: 27579</w:t>
      </w:r>
    </w:p>
    <w:p w:rsidR="0073571D" w:rsidRPr="004B287E" w:rsidRDefault="006E3FE3" w:rsidP="00EA0316">
      <w:pPr>
        <w:pStyle w:val="ListeParagraf"/>
        <w:numPr>
          <w:ilvl w:val="0"/>
          <w:numId w:val="3"/>
        </w:numPr>
        <w:tabs>
          <w:tab w:val="left" w:pos="284"/>
        </w:tabs>
        <w:ind w:left="709" w:hanging="709"/>
      </w:pPr>
      <w:r w:rsidRPr="004B287E">
        <w:t>TÜİK verileri</w:t>
      </w:r>
    </w:p>
    <w:sectPr w:rsidR="0073571D" w:rsidRPr="004B287E" w:rsidSect="00D91D3E">
      <w:headerReference w:type="default" r:id="rId11"/>
      <w:footerReference w:type="default" r:id="rId12"/>
      <w:pgSz w:w="11906" w:h="16838"/>
      <w:pgMar w:top="1417" w:right="1133" w:bottom="1417" w:left="1417" w:header="708" w:footer="33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579" w:rsidRDefault="003E4579" w:rsidP="00744729">
      <w:pPr>
        <w:spacing w:after="0" w:line="240" w:lineRule="auto"/>
      </w:pPr>
      <w:r>
        <w:separator/>
      </w:r>
    </w:p>
    <w:p w:rsidR="003E4579" w:rsidRDefault="003E4579"/>
  </w:endnote>
  <w:endnote w:type="continuationSeparator" w:id="0">
    <w:p w:rsidR="003E4579" w:rsidRDefault="003E4579" w:rsidP="00744729">
      <w:pPr>
        <w:spacing w:after="0" w:line="240" w:lineRule="auto"/>
      </w:pPr>
      <w:r>
        <w:continuationSeparator/>
      </w:r>
    </w:p>
    <w:p w:rsidR="003E4579" w:rsidRDefault="003E45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24465"/>
      <w:docPartObj>
        <w:docPartGallery w:val="Page Numbers (Bottom of Page)"/>
        <w:docPartUnique/>
      </w:docPartObj>
    </w:sdtPr>
    <w:sdtContent>
      <w:p w:rsidR="00BF7B0A" w:rsidRDefault="00085854">
        <w:pPr>
          <w:pStyle w:val="Altbilgi"/>
          <w:jc w:val="center"/>
        </w:pPr>
        <w:r>
          <w:fldChar w:fldCharType="begin"/>
        </w:r>
        <w:r w:rsidR="00BF7B0A">
          <w:instrText>PAGE   \* MERGEFORMAT</w:instrText>
        </w:r>
        <w:r>
          <w:fldChar w:fldCharType="separate"/>
        </w:r>
        <w:r w:rsidR="001B160E">
          <w:rPr>
            <w:noProof/>
          </w:rPr>
          <w:t>2</w:t>
        </w:r>
        <w:r>
          <w:fldChar w:fldCharType="end"/>
        </w:r>
      </w:p>
    </w:sdtContent>
  </w:sdt>
  <w:p w:rsidR="00BF7B0A" w:rsidRDefault="00BF7B0A">
    <w:pPr>
      <w:pStyle w:val="Altbilgi"/>
    </w:pPr>
  </w:p>
  <w:p w:rsidR="00BF7B0A" w:rsidRDefault="00BF7B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579" w:rsidRDefault="003E4579" w:rsidP="00744729">
      <w:pPr>
        <w:spacing w:after="0" w:line="240" w:lineRule="auto"/>
      </w:pPr>
      <w:r>
        <w:separator/>
      </w:r>
    </w:p>
    <w:p w:rsidR="003E4579" w:rsidRDefault="003E4579"/>
  </w:footnote>
  <w:footnote w:type="continuationSeparator" w:id="0">
    <w:p w:rsidR="003E4579" w:rsidRDefault="003E4579" w:rsidP="00744729">
      <w:pPr>
        <w:spacing w:after="0" w:line="240" w:lineRule="auto"/>
      </w:pPr>
      <w:r>
        <w:continuationSeparator/>
      </w:r>
    </w:p>
    <w:p w:rsidR="003E4579" w:rsidRDefault="003E4579"/>
  </w:footnote>
  <w:footnote w:id="1">
    <w:p w:rsidR="00BF7B0A" w:rsidRPr="00866B85" w:rsidRDefault="00BF7B0A">
      <w:pPr>
        <w:pStyle w:val="DipnotMetni"/>
      </w:pPr>
      <w:r w:rsidRPr="00866B85">
        <w:rPr>
          <w:rStyle w:val="DipnotBavurusu"/>
        </w:rPr>
        <w:footnoteRef/>
      </w:r>
      <w:r w:rsidRPr="00866B85">
        <w:t xml:space="preserve"> İSİG Meclisi'nin iş cinayeti verileri hem iş kazalarını, hem de meslek hastalıklarını içermekle birlikte 2017'de tespit edilebilen meslek hastalığı sonucu ölüm 4 kişidir (İSİG Meclisi, 2017 İş Cinayetleri Raporu, s. 8). İSİG Meclisi yalnızca ölümleri raporlamaktadır. SGK ile İSİG Meclisi'nin iş kazası tanımı farklıdır. İSİG Meclisi verileri kamu çalışanlarını ve bağımsız çalışanları, sigortasız çalışanları da kapsamaktadır. SGK istatistiklerinde ilk defa bu yıl bağımsız çalışanların iş kazası ve meslek hastalıklarına yer verilmiştir. Yine </w:t>
      </w:r>
      <w:proofErr w:type="spellStart"/>
      <w:r w:rsidRPr="00866B85">
        <w:t>SGK'nın</w:t>
      </w:r>
      <w:proofErr w:type="spellEnd"/>
      <w:r w:rsidRPr="00866B85">
        <w:t xml:space="preserve"> iş kazası olarak kabul etmediği ancak emek örgütlerinin yapılan işin bir parçası olarak değerlendirdikleri çeşitli olaylar da İSİG Meclisi verilerinde yer almaktadır. </w:t>
      </w:r>
    </w:p>
  </w:footnote>
  <w:footnote w:id="2">
    <w:p w:rsidR="00BF7B0A" w:rsidRPr="00866B85" w:rsidRDefault="00BF7B0A" w:rsidP="00BA5EA3">
      <w:pPr>
        <w:pStyle w:val="DipnotMetni"/>
      </w:pPr>
      <w:r w:rsidRPr="00866B85">
        <w:rPr>
          <w:rStyle w:val="DipnotBavurusu"/>
        </w:rPr>
        <w:footnoteRef/>
      </w:r>
      <w:r>
        <w:t>Sürekli i</w:t>
      </w:r>
      <w:r w:rsidRPr="00866B85">
        <w:t>ş göremezlik geliri ve ölüm geliri</w:t>
      </w:r>
      <w:r>
        <w:t>,</w:t>
      </w:r>
      <w:r w:rsidRPr="00866B85">
        <w:t xml:space="preserve"> 5510 sayılı SSGSS yasasına göre, yalnızca işçiler ile bağımsız çalışanları kapsayan</w:t>
      </w:r>
      <w:r>
        <w:t>,</w:t>
      </w:r>
      <w:r w:rsidRPr="00866B85">
        <w:t xml:space="preserve"> iş kazası veya meslek hastalığı sonucunda yapılan ödemelerdir. Sürekli iş göremezlik geliri</w:t>
      </w:r>
      <w:r>
        <w:t>,</w:t>
      </w:r>
      <w:r w:rsidRPr="00866B85">
        <w:t xml:space="preserve"> iş kazası veya meslek hastalığı nedeniyle meslekte kazanma gücünü en az %10 oranında kaybettiği SGK tarafından tespit </w:t>
      </w:r>
      <w:r>
        <w:t xml:space="preserve">edilen </w:t>
      </w:r>
      <w:r w:rsidRPr="00866B85">
        <w:t>işçiler ve bağımsız çalışan sigortalılar</w:t>
      </w:r>
      <w:r>
        <w:t>a</w:t>
      </w:r>
      <w:r w:rsidRPr="00866B85">
        <w:t xml:space="preserve"> </w:t>
      </w:r>
      <w:r>
        <w:t>yapılan bir ödeme türüdür</w:t>
      </w:r>
      <w:r w:rsidRPr="00866B85">
        <w:t xml:space="preserve">. SSGSS Kanunu kamu çalışanlarının işle ilgili olarak geçirdiği kaza ve sağlık sorunlarını iş kazası veya meslek hastalığı saymayıp "vazife malullüğü" olarak değerlendirmektedir.  Malûllük aylığı ise meslek hastalığı ve iş kazası yanında, diğer nedenlerle de ortaya çıkan ve çalışanın mesleğini yapmasını önemli ölçüde sınırlandıran sağlık sorunlarında ödenmektedir. Malûllük aylığı işçiler ve bağımsız çalışanlar yanında kamu çalışanlarını da kapsamaktadır. </w:t>
      </w:r>
    </w:p>
  </w:footnote>
  <w:footnote w:id="3">
    <w:p w:rsidR="00BF7B0A" w:rsidRPr="00866B85" w:rsidRDefault="00BF7B0A" w:rsidP="00B231CE">
      <w:r w:rsidRPr="00866B85">
        <w:rPr>
          <w:rStyle w:val="DipnotBavurusu"/>
        </w:rPr>
        <w:footnoteRef/>
      </w:r>
      <w:r w:rsidRPr="00866B85">
        <w:t xml:space="preserve"> F</w:t>
      </w:r>
      <w:r w:rsidRPr="00866B85">
        <w:rPr>
          <w:i/>
          <w:sz w:val="18"/>
          <w:szCs w:val="20"/>
        </w:rPr>
        <w:t xml:space="preserve">arklı ülkelerin veri kayıt ve raporlama sistemlerinde farklılıklar bulunmaktadır. Ancak </w:t>
      </w:r>
      <w:proofErr w:type="spellStart"/>
      <w:r w:rsidRPr="00866B85">
        <w:rPr>
          <w:i/>
          <w:sz w:val="18"/>
          <w:szCs w:val="20"/>
        </w:rPr>
        <w:t>Eurostat</w:t>
      </w:r>
      <w:proofErr w:type="spellEnd"/>
      <w:r w:rsidRPr="00866B85">
        <w:rPr>
          <w:i/>
          <w:sz w:val="18"/>
          <w:szCs w:val="20"/>
        </w:rPr>
        <w:t xml:space="preserve"> gibi uluslararası istatistik kuruluşları ülke karşılaştırmalarını yaparken mümkün olduğu kadar verileri standardize etmektedirler. Bu nedenle, farklı ülke verileri karşılaştırılabilir hale gelmektedir (HSE, 2018, s. 2).</w:t>
      </w:r>
      <w:r w:rsidRPr="00866B85">
        <w:t xml:space="preserve"> </w:t>
      </w:r>
    </w:p>
    <w:p w:rsidR="00BF7B0A" w:rsidRPr="00866B85" w:rsidRDefault="00BF7B0A">
      <w:pPr>
        <w:pStyle w:val="DipnotMetni"/>
      </w:pPr>
    </w:p>
  </w:footnote>
  <w:footnote w:id="4">
    <w:p w:rsidR="00BF7B0A" w:rsidRPr="00866B85" w:rsidRDefault="00BF7B0A">
      <w:pPr>
        <w:pStyle w:val="DipnotMetni"/>
      </w:pPr>
      <w:r w:rsidRPr="00866B85">
        <w:rPr>
          <w:rStyle w:val="DipnotBavurusu"/>
        </w:rPr>
        <w:footnoteRef/>
      </w:r>
      <w:r w:rsidRPr="00866B85">
        <w:t xml:space="preserve"> AB-15: Avusturya, Belçika, Danimarka, Finlandiya, Fransa, Almanya, Yunanistan, İrlanda, İtalya, </w:t>
      </w:r>
      <w:proofErr w:type="spellStart"/>
      <w:r w:rsidRPr="00866B85">
        <w:t>Lüxemburg</w:t>
      </w:r>
      <w:proofErr w:type="spellEnd"/>
      <w:r w:rsidRPr="00866B85">
        <w:t>, Hollanda, Portekiz, İspanya, İsveç ve Birleşik Krallık.</w:t>
      </w:r>
    </w:p>
  </w:footnote>
  <w:footnote w:id="5">
    <w:p w:rsidR="00BF7B0A" w:rsidRPr="00866B85" w:rsidRDefault="00BF7B0A">
      <w:pPr>
        <w:pStyle w:val="DipnotMetni"/>
      </w:pPr>
      <w:r w:rsidRPr="00866B85">
        <w:rPr>
          <w:rStyle w:val="DipnotBavurusu"/>
        </w:rPr>
        <w:footnoteRef/>
      </w:r>
      <w:r w:rsidRPr="00866B85">
        <w:t xml:space="preserve"> HSE verileri İngiltere'deki iş kazası bildirim sistemi olan RIDDOR (</w:t>
      </w:r>
      <w:r w:rsidRPr="00866B85">
        <w:rPr>
          <w:lang w:val="en-GB"/>
        </w:rPr>
        <w:t>Reporting of Injuries, Diseases and Dangerous Occurrences Regulations)</w:t>
      </w:r>
      <w:r w:rsidRPr="00866B85">
        <w:t xml:space="preserve">  kapsamında bildirilmiş olan olayları içermektedir. RIDDOR kara, deniz ve havayollarında olan olayları, intiharları, silahlı kuvvetlerin görevleri nedeniyle olan ölümleri, doğal nedenler olarak anılan kalp krizi gibi olayları ve yapılan işler nedeniyle ölen halktan insanları kapsamamaktadır. HSE verileri kapsadığı dönemde 1 Nisan – 31 Mart arasını kapsamaktadır. </w:t>
      </w:r>
    </w:p>
  </w:footnote>
  <w:footnote w:id="6">
    <w:p w:rsidR="00BF7B0A" w:rsidRPr="00866B85" w:rsidRDefault="00BF7B0A">
      <w:pPr>
        <w:pStyle w:val="DipnotMetni"/>
      </w:pPr>
      <w:r w:rsidRPr="00866B85">
        <w:rPr>
          <w:rStyle w:val="DipnotBavurusu"/>
        </w:rPr>
        <w:footnoteRef/>
      </w:r>
      <w:r w:rsidRPr="00866B85">
        <w:t xml:space="preserve"> </w:t>
      </w:r>
      <w:proofErr w:type="spellStart"/>
      <w:r w:rsidRPr="00866B85">
        <w:t>Mezotelyoma</w:t>
      </w:r>
      <w:proofErr w:type="spellEnd"/>
      <w:r w:rsidRPr="00866B85">
        <w:t xml:space="preserve">, bilinen en önemli etkeni asbest olan bir hastalıktır. </w:t>
      </w:r>
    </w:p>
  </w:footnote>
  <w:footnote w:id="7">
    <w:p w:rsidR="00BF7B0A" w:rsidRPr="00866B85" w:rsidRDefault="00BF7B0A">
      <w:pPr>
        <w:pStyle w:val="DipnotMetni"/>
      </w:pPr>
      <w:r w:rsidRPr="00866B85">
        <w:rPr>
          <w:rStyle w:val="DipnotBavurusu"/>
        </w:rPr>
        <w:footnoteRef/>
      </w:r>
      <w:r w:rsidRPr="00866B85">
        <w:t xml:space="preserve"> Kaynakta </w:t>
      </w:r>
      <w:proofErr w:type="gramStart"/>
      <w:r w:rsidRPr="00866B85">
        <w:t>(</w:t>
      </w:r>
      <w:proofErr w:type="gramEnd"/>
      <w:r w:rsidRPr="00866B85">
        <w:rPr>
          <w:lang w:val="en-GB"/>
        </w:rPr>
        <w:t xml:space="preserve">Health and safety at work. </w:t>
      </w:r>
      <w:proofErr w:type="gramStart"/>
      <w:r w:rsidRPr="00866B85">
        <w:rPr>
          <w:lang w:val="en-GB"/>
        </w:rPr>
        <w:t>Summary statistics for Great Britain 2018</w:t>
      </w:r>
      <w:r w:rsidRPr="00866B85">
        <w:t>, p. 6) verilen yüzdelerle, bu yüzdeye göre hesaplanan rakamlar arasında bir miktar fark bulunmaktadır.</w:t>
      </w:r>
      <w:proofErr w:type="gramEnd"/>
      <w:r w:rsidRPr="00866B85">
        <w:t xml:space="preserve"> Bu nedenle kaynakta rakam olarak verilenler rakam şeklinde yazılmış, yüzde olarak verilen veriler ise toplam sayı olarak verilen 12 bin ile çarpılarak parantez içinde sunulmuştur.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0A" w:rsidRPr="00317612" w:rsidRDefault="00BF7B0A" w:rsidP="00317612">
    <w:pPr>
      <w:pStyle w:val="stbilgi"/>
      <w:jc w:val="right"/>
    </w:pPr>
    <w:r>
      <w:rPr>
        <w:i/>
        <w:sz w:val="18"/>
        <w:szCs w:val="18"/>
      </w:rPr>
      <w:t xml:space="preserve">SHD </w:t>
    </w:r>
    <w:r w:rsidRPr="00317612">
      <w:rPr>
        <w:i/>
        <w:sz w:val="18"/>
        <w:szCs w:val="18"/>
      </w:rPr>
      <w:t>İşçi</w:t>
    </w:r>
    <w:r>
      <w:rPr>
        <w:i/>
        <w:sz w:val="18"/>
        <w:szCs w:val="18"/>
      </w:rPr>
      <w:t xml:space="preserve"> Sağlığı ve İş Güvenliği Raporu </w:t>
    </w:r>
    <w:r w:rsidRPr="00317612">
      <w:rPr>
        <w:i/>
        <w:sz w:val="18"/>
        <w:szCs w:val="18"/>
      </w:rPr>
      <w:t>2018</w:t>
    </w:r>
    <w:r w:rsidR="007B7069">
      <w:rPr>
        <w:i/>
        <w:sz w:val="18"/>
        <w:szCs w:val="18"/>
      </w:rPr>
      <w:t>_R01</w:t>
    </w:r>
  </w:p>
  <w:p w:rsidR="00BF7B0A" w:rsidRDefault="00BF7B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F85"/>
    <w:multiLevelType w:val="hybridMultilevel"/>
    <w:tmpl w:val="30102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44036D"/>
    <w:multiLevelType w:val="hybridMultilevel"/>
    <w:tmpl w:val="E8B8857A"/>
    <w:lvl w:ilvl="0" w:tplc="01EE4C34">
      <w:start w:val="201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A06B19"/>
    <w:multiLevelType w:val="hybridMultilevel"/>
    <w:tmpl w:val="3A3C7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B43AF1"/>
    <w:multiLevelType w:val="multilevel"/>
    <w:tmpl w:val="64D811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4652AD2"/>
    <w:multiLevelType w:val="hybridMultilevel"/>
    <w:tmpl w:val="F490C032"/>
    <w:lvl w:ilvl="0" w:tplc="3F76DD72">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43688C"/>
    <w:multiLevelType w:val="hybridMultilevel"/>
    <w:tmpl w:val="08E48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23346E"/>
    <w:multiLevelType w:val="hybridMultilevel"/>
    <w:tmpl w:val="55D2E7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0F2592"/>
    <w:multiLevelType w:val="hybridMultilevel"/>
    <w:tmpl w:val="159C51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6D77D7"/>
    <w:multiLevelType w:val="hybridMultilevel"/>
    <w:tmpl w:val="7640E2CC"/>
    <w:lvl w:ilvl="0" w:tplc="3EF829F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2D4776"/>
    <w:multiLevelType w:val="hybridMultilevel"/>
    <w:tmpl w:val="3498204C"/>
    <w:lvl w:ilvl="0" w:tplc="D1288BE4">
      <w:start w:val="201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217B99"/>
    <w:multiLevelType w:val="hybridMultilevel"/>
    <w:tmpl w:val="C7EE9F3C"/>
    <w:lvl w:ilvl="0" w:tplc="01EE4C34">
      <w:start w:val="201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80609D"/>
    <w:multiLevelType w:val="hybridMultilevel"/>
    <w:tmpl w:val="5CA0E7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205FA4"/>
    <w:multiLevelType w:val="hybridMultilevel"/>
    <w:tmpl w:val="53E2657A"/>
    <w:lvl w:ilvl="0" w:tplc="CA2A624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097D39"/>
    <w:multiLevelType w:val="hybridMultilevel"/>
    <w:tmpl w:val="A03A3AA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8"/>
  </w:num>
  <w:num w:numId="2">
    <w:abstractNumId w:val="9"/>
  </w:num>
  <w:num w:numId="3">
    <w:abstractNumId w:val="4"/>
  </w:num>
  <w:num w:numId="4">
    <w:abstractNumId w:val="13"/>
  </w:num>
  <w:num w:numId="5">
    <w:abstractNumId w:val="12"/>
  </w:num>
  <w:num w:numId="6">
    <w:abstractNumId w:val="1"/>
  </w:num>
  <w:num w:numId="7">
    <w:abstractNumId w:val="10"/>
  </w:num>
  <w:num w:numId="8">
    <w:abstractNumId w:val="6"/>
  </w:num>
  <w:num w:numId="9">
    <w:abstractNumId w:val="5"/>
  </w:num>
  <w:num w:numId="10">
    <w:abstractNumId w:val="3"/>
  </w:num>
  <w:num w:numId="11">
    <w:abstractNumId w:val="2"/>
  </w:num>
  <w:num w:numId="12">
    <w:abstractNumId w:val="0"/>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24"/>
  <w:stylePaneSortMethod w:val="0000"/>
  <w:defaultTabStop w:val="708"/>
  <w:hyphenationZone w:val="425"/>
  <w:characterSpacingControl w:val="doNotCompress"/>
  <w:footnotePr>
    <w:footnote w:id="-1"/>
    <w:footnote w:id="0"/>
  </w:footnotePr>
  <w:endnotePr>
    <w:endnote w:id="-1"/>
    <w:endnote w:id="0"/>
  </w:endnotePr>
  <w:compat/>
  <w:rsids>
    <w:rsidRoot w:val="001A6BE7"/>
    <w:rsid w:val="00010F4E"/>
    <w:rsid w:val="000134D7"/>
    <w:rsid w:val="00023562"/>
    <w:rsid w:val="00047B34"/>
    <w:rsid w:val="000564A1"/>
    <w:rsid w:val="00066BF5"/>
    <w:rsid w:val="0007416B"/>
    <w:rsid w:val="00074838"/>
    <w:rsid w:val="0008295E"/>
    <w:rsid w:val="00085854"/>
    <w:rsid w:val="000B19B4"/>
    <w:rsid w:val="000B2661"/>
    <w:rsid w:val="000B7E31"/>
    <w:rsid w:val="000D0B8F"/>
    <w:rsid w:val="001127F3"/>
    <w:rsid w:val="00116235"/>
    <w:rsid w:val="001459A2"/>
    <w:rsid w:val="001555CD"/>
    <w:rsid w:val="00155DF8"/>
    <w:rsid w:val="001650E2"/>
    <w:rsid w:val="00183E07"/>
    <w:rsid w:val="001933D0"/>
    <w:rsid w:val="001976AC"/>
    <w:rsid w:val="001A0FC9"/>
    <w:rsid w:val="001A535B"/>
    <w:rsid w:val="001A656C"/>
    <w:rsid w:val="001A6BE7"/>
    <w:rsid w:val="001B10CB"/>
    <w:rsid w:val="001B160E"/>
    <w:rsid w:val="001C1753"/>
    <w:rsid w:val="001C1F12"/>
    <w:rsid w:val="002031D8"/>
    <w:rsid w:val="00217769"/>
    <w:rsid w:val="00225684"/>
    <w:rsid w:val="002319B3"/>
    <w:rsid w:val="00243EB1"/>
    <w:rsid w:val="002614AF"/>
    <w:rsid w:val="00267CFC"/>
    <w:rsid w:val="00275490"/>
    <w:rsid w:val="002804F8"/>
    <w:rsid w:val="002970DC"/>
    <w:rsid w:val="002A67F4"/>
    <w:rsid w:val="002B6296"/>
    <w:rsid w:val="002C7DC9"/>
    <w:rsid w:val="002E218E"/>
    <w:rsid w:val="002E5EE5"/>
    <w:rsid w:val="002F1BFA"/>
    <w:rsid w:val="00310D2B"/>
    <w:rsid w:val="00317612"/>
    <w:rsid w:val="00350F85"/>
    <w:rsid w:val="003528FB"/>
    <w:rsid w:val="00360A6F"/>
    <w:rsid w:val="00360D7F"/>
    <w:rsid w:val="003616A0"/>
    <w:rsid w:val="003617C3"/>
    <w:rsid w:val="0037309B"/>
    <w:rsid w:val="00377617"/>
    <w:rsid w:val="003A7CD5"/>
    <w:rsid w:val="003C2AE4"/>
    <w:rsid w:val="003D11CD"/>
    <w:rsid w:val="003E4579"/>
    <w:rsid w:val="00414520"/>
    <w:rsid w:val="00420E93"/>
    <w:rsid w:val="004338B4"/>
    <w:rsid w:val="004449D4"/>
    <w:rsid w:val="004605C1"/>
    <w:rsid w:val="004667B8"/>
    <w:rsid w:val="00472AD3"/>
    <w:rsid w:val="00475434"/>
    <w:rsid w:val="00475835"/>
    <w:rsid w:val="00485CDB"/>
    <w:rsid w:val="00487A2D"/>
    <w:rsid w:val="0049036C"/>
    <w:rsid w:val="004B287E"/>
    <w:rsid w:val="004E74C8"/>
    <w:rsid w:val="005011BA"/>
    <w:rsid w:val="00507840"/>
    <w:rsid w:val="0051521C"/>
    <w:rsid w:val="005178F7"/>
    <w:rsid w:val="00531E43"/>
    <w:rsid w:val="0057000A"/>
    <w:rsid w:val="00577A5C"/>
    <w:rsid w:val="005829AD"/>
    <w:rsid w:val="005A5220"/>
    <w:rsid w:val="005B16D0"/>
    <w:rsid w:val="005B3F5E"/>
    <w:rsid w:val="005C265F"/>
    <w:rsid w:val="005C3E52"/>
    <w:rsid w:val="005C5E30"/>
    <w:rsid w:val="005D1A33"/>
    <w:rsid w:val="005E618E"/>
    <w:rsid w:val="005F0D09"/>
    <w:rsid w:val="00602100"/>
    <w:rsid w:val="00623320"/>
    <w:rsid w:val="006253DD"/>
    <w:rsid w:val="0063539D"/>
    <w:rsid w:val="00636478"/>
    <w:rsid w:val="00642415"/>
    <w:rsid w:val="00660492"/>
    <w:rsid w:val="00661427"/>
    <w:rsid w:val="00667E5C"/>
    <w:rsid w:val="006743F1"/>
    <w:rsid w:val="0069434C"/>
    <w:rsid w:val="006D70F6"/>
    <w:rsid w:val="006E3FE3"/>
    <w:rsid w:val="006F09DB"/>
    <w:rsid w:val="006F386E"/>
    <w:rsid w:val="00701C94"/>
    <w:rsid w:val="0070716B"/>
    <w:rsid w:val="007104AF"/>
    <w:rsid w:val="00725076"/>
    <w:rsid w:val="007324F0"/>
    <w:rsid w:val="0073571D"/>
    <w:rsid w:val="00735C48"/>
    <w:rsid w:val="007410F7"/>
    <w:rsid w:val="00744729"/>
    <w:rsid w:val="007512D3"/>
    <w:rsid w:val="00752F38"/>
    <w:rsid w:val="00771652"/>
    <w:rsid w:val="00771EDE"/>
    <w:rsid w:val="00780619"/>
    <w:rsid w:val="0078499E"/>
    <w:rsid w:val="00787561"/>
    <w:rsid w:val="007A39A9"/>
    <w:rsid w:val="007B7069"/>
    <w:rsid w:val="007B7648"/>
    <w:rsid w:val="007D693A"/>
    <w:rsid w:val="007D69AD"/>
    <w:rsid w:val="007E08DE"/>
    <w:rsid w:val="007E55E9"/>
    <w:rsid w:val="007F659E"/>
    <w:rsid w:val="008120BD"/>
    <w:rsid w:val="00813CC7"/>
    <w:rsid w:val="0082616D"/>
    <w:rsid w:val="00835937"/>
    <w:rsid w:val="00840160"/>
    <w:rsid w:val="008402DA"/>
    <w:rsid w:val="0084487C"/>
    <w:rsid w:val="008517F2"/>
    <w:rsid w:val="00851A02"/>
    <w:rsid w:val="008536EA"/>
    <w:rsid w:val="00864B78"/>
    <w:rsid w:val="00866B85"/>
    <w:rsid w:val="00872B98"/>
    <w:rsid w:val="008936AA"/>
    <w:rsid w:val="008944DE"/>
    <w:rsid w:val="008B1328"/>
    <w:rsid w:val="008B2E35"/>
    <w:rsid w:val="008B2EDB"/>
    <w:rsid w:val="008B4718"/>
    <w:rsid w:val="008B685D"/>
    <w:rsid w:val="008B68C8"/>
    <w:rsid w:val="008C0318"/>
    <w:rsid w:val="008D0686"/>
    <w:rsid w:val="008D219F"/>
    <w:rsid w:val="008D6B7F"/>
    <w:rsid w:val="008E6904"/>
    <w:rsid w:val="008F6E4A"/>
    <w:rsid w:val="00905ECB"/>
    <w:rsid w:val="00915C4A"/>
    <w:rsid w:val="0093218C"/>
    <w:rsid w:val="009410BF"/>
    <w:rsid w:val="009561AC"/>
    <w:rsid w:val="00971310"/>
    <w:rsid w:val="00976205"/>
    <w:rsid w:val="00984B52"/>
    <w:rsid w:val="00987E33"/>
    <w:rsid w:val="009A39B8"/>
    <w:rsid w:val="009A50D8"/>
    <w:rsid w:val="009B1702"/>
    <w:rsid w:val="009E3E24"/>
    <w:rsid w:val="009F091C"/>
    <w:rsid w:val="009F0F75"/>
    <w:rsid w:val="009F2206"/>
    <w:rsid w:val="00A026C7"/>
    <w:rsid w:val="00A07C47"/>
    <w:rsid w:val="00A15F75"/>
    <w:rsid w:val="00A219A6"/>
    <w:rsid w:val="00A27807"/>
    <w:rsid w:val="00A27EF2"/>
    <w:rsid w:val="00A33065"/>
    <w:rsid w:val="00A6168D"/>
    <w:rsid w:val="00A65B92"/>
    <w:rsid w:val="00A705FB"/>
    <w:rsid w:val="00A773C4"/>
    <w:rsid w:val="00A830C8"/>
    <w:rsid w:val="00A849D4"/>
    <w:rsid w:val="00A91BD3"/>
    <w:rsid w:val="00AC25D6"/>
    <w:rsid w:val="00AC4280"/>
    <w:rsid w:val="00AC4A87"/>
    <w:rsid w:val="00AC71A6"/>
    <w:rsid w:val="00AE0C65"/>
    <w:rsid w:val="00AE750A"/>
    <w:rsid w:val="00B0491F"/>
    <w:rsid w:val="00B14E73"/>
    <w:rsid w:val="00B1608A"/>
    <w:rsid w:val="00B165D8"/>
    <w:rsid w:val="00B21011"/>
    <w:rsid w:val="00B231CE"/>
    <w:rsid w:val="00B23771"/>
    <w:rsid w:val="00B26C32"/>
    <w:rsid w:val="00B27387"/>
    <w:rsid w:val="00B31F63"/>
    <w:rsid w:val="00B52DAE"/>
    <w:rsid w:val="00B53B14"/>
    <w:rsid w:val="00B654FB"/>
    <w:rsid w:val="00B7103F"/>
    <w:rsid w:val="00B73416"/>
    <w:rsid w:val="00B82450"/>
    <w:rsid w:val="00B95EC5"/>
    <w:rsid w:val="00BA5EA3"/>
    <w:rsid w:val="00BA7D3A"/>
    <w:rsid w:val="00BB6C1D"/>
    <w:rsid w:val="00BC16EB"/>
    <w:rsid w:val="00BD45B2"/>
    <w:rsid w:val="00BD6EB5"/>
    <w:rsid w:val="00BD7CBA"/>
    <w:rsid w:val="00BE5F33"/>
    <w:rsid w:val="00BF3E2B"/>
    <w:rsid w:val="00BF7B0A"/>
    <w:rsid w:val="00C04B9D"/>
    <w:rsid w:val="00C15DFD"/>
    <w:rsid w:val="00C2226E"/>
    <w:rsid w:val="00C30F5A"/>
    <w:rsid w:val="00C45F9B"/>
    <w:rsid w:val="00C536D5"/>
    <w:rsid w:val="00C54F58"/>
    <w:rsid w:val="00C65831"/>
    <w:rsid w:val="00C67E60"/>
    <w:rsid w:val="00C83B6E"/>
    <w:rsid w:val="00C923F2"/>
    <w:rsid w:val="00C96123"/>
    <w:rsid w:val="00CA0AD0"/>
    <w:rsid w:val="00CB146F"/>
    <w:rsid w:val="00CB23A7"/>
    <w:rsid w:val="00CB6372"/>
    <w:rsid w:val="00CC26AF"/>
    <w:rsid w:val="00CC6E03"/>
    <w:rsid w:val="00CD7E84"/>
    <w:rsid w:val="00CE4C4B"/>
    <w:rsid w:val="00D21381"/>
    <w:rsid w:val="00D3417B"/>
    <w:rsid w:val="00D360F3"/>
    <w:rsid w:val="00D36DE6"/>
    <w:rsid w:val="00D41F39"/>
    <w:rsid w:val="00D458A5"/>
    <w:rsid w:val="00D5332A"/>
    <w:rsid w:val="00D55CF3"/>
    <w:rsid w:val="00D65C41"/>
    <w:rsid w:val="00D84CEF"/>
    <w:rsid w:val="00D85824"/>
    <w:rsid w:val="00D91D3E"/>
    <w:rsid w:val="00D932C8"/>
    <w:rsid w:val="00D94D99"/>
    <w:rsid w:val="00D97B0F"/>
    <w:rsid w:val="00D97EF0"/>
    <w:rsid w:val="00DA4B94"/>
    <w:rsid w:val="00DC14EF"/>
    <w:rsid w:val="00DD54FB"/>
    <w:rsid w:val="00DD6FA1"/>
    <w:rsid w:val="00DF5628"/>
    <w:rsid w:val="00E00C97"/>
    <w:rsid w:val="00E1381C"/>
    <w:rsid w:val="00E14D18"/>
    <w:rsid w:val="00E200F7"/>
    <w:rsid w:val="00E216D3"/>
    <w:rsid w:val="00E239A3"/>
    <w:rsid w:val="00E23AA0"/>
    <w:rsid w:val="00E23AD3"/>
    <w:rsid w:val="00E26168"/>
    <w:rsid w:val="00E44241"/>
    <w:rsid w:val="00E52945"/>
    <w:rsid w:val="00E63E52"/>
    <w:rsid w:val="00E648AE"/>
    <w:rsid w:val="00E65B09"/>
    <w:rsid w:val="00E6625C"/>
    <w:rsid w:val="00E727A7"/>
    <w:rsid w:val="00E936C8"/>
    <w:rsid w:val="00EA0316"/>
    <w:rsid w:val="00EA491A"/>
    <w:rsid w:val="00EA6287"/>
    <w:rsid w:val="00EB0522"/>
    <w:rsid w:val="00ED5946"/>
    <w:rsid w:val="00EE14D6"/>
    <w:rsid w:val="00EE4F74"/>
    <w:rsid w:val="00EF6EBA"/>
    <w:rsid w:val="00F11181"/>
    <w:rsid w:val="00F1532F"/>
    <w:rsid w:val="00F25AD4"/>
    <w:rsid w:val="00F27E97"/>
    <w:rsid w:val="00F34405"/>
    <w:rsid w:val="00F37EDC"/>
    <w:rsid w:val="00F50CC5"/>
    <w:rsid w:val="00F55F30"/>
    <w:rsid w:val="00F81B2D"/>
    <w:rsid w:val="00F91EB6"/>
    <w:rsid w:val="00FA5374"/>
    <w:rsid w:val="00FA7216"/>
    <w:rsid w:val="00FB3C43"/>
    <w:rsid w:val="00FC173F"/>
    <w:rsid w:val="00FE2DC9"/>
    <w:rsid w:val="00FF1AD0"/>
    <w:rsid w:val="00FF445B"/>
    <w:rsid w:val="00FF6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61"/>
  </w:style>
  <w:style w:type="paragraph" w:styleId="Balk1">
    <w:name w:val="heading 1"/>
    <w:basedOn w:val="Normal"/>
    <w:next w:val="Normal"/>
    <w:link w:val="Balk1Char"/>
    <w:uiPriority w:val="9"/>
    <w:qFormat/>
    <w:rsid w:val="00D65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65C41"/>
    <w:pPr>
      <w:keepNext/>
      <w:keepLines/>
      <w:spacing w:before="120" w:after="120"/>
      <w:outlineLvl w:val="1"/>
    </w:pPr>
    <w:rPr>
      <w:rFonts w:asciiTheme="majorHAnsi" w:eastAsiaTheme="majorEastAsia" w:hAnsiTheme="majorHAnsi" w:cstheme="majorBidi"/>
      <w:b/>
      <w:bCs/>
      <w:sz w:val="24"/>
      <w:szCs w:val="24"/>
    </w:rPr>
  </w:style>
  <w:style w:type="paragraph" w:styleId="Balk3">
    <w:name w:val="heading 3"/>
    <w:basedOn w:val="Normal"/>
    <w:next w:val="Normal"/>
    <w:link w:val="Balk3Char"/>
    <w:uiPriority w:val="9"/>
    <w:unhideWhenUsed/>
    <w:qFormat/>
    <w:rsid w:val="00EA0316"/>
    <w:pPr>
      <w:keepNext/>
      <w:keepLines/>
      <w:spacing w:before="120" w:after="120" w:line="240" w:lineRule="auto"/>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Bal">
    <w:name w:val="Tablo Başlığı"/>
    <w:basedOn w:val="Normal"/>
    <w:qFormat/>
    <w:rsid w:val="00D65C41"/>
    <w:pPr>
      <w:keepNext/>
      <w:spacing w:before="120" w:after="120" w:line="240" w:lineRule="auto"/>
      <w:jc w:val="center"/>
    </w:pPr>
    <w:rPr>
      <w:color w:val="FF0000"/>
    </w:rPr>
  </w:style>
  <w:style w:type="paragraph" w:styleId="Kaynaka">
    <w:name w:val="table of authorities"/>
    <w:aliases w:val="Kaynakça"/>
    <w:basedOn w:val="Normal"/>
    <w:next w:val="Normal"/>
    <w:uiPriority w:val="99"/>
    <w:unhideWhenUsed/>
    <w:qFormat/>
    <w:rsid w:val="0078499E"/>
    <w:pPr>
      <w:spacing w:before="240" w:after="240" w:line="240" w:lineRule="auto"/>
      <w:ind w:left="851" w:hanging="851"/>
    </w:pPr>
    <w:rPr>
      <w:rFonts w:ascii="Times New Roman" w:hAnsi="Times New Roman"/>
      <w:sz w:val="24"/>
    </w:rPr>
  </w:style>
  <w:style w:type="paragraph" w:styleId="DipnotMetni">
    <w:name w:val="footnote text"/>
    <w:basedOn w:val="Normal"/>
    <w:link w:val="DipnotMetniChar"/>
    <w:uiPriority w:val="99"/>
    <w:semiHidden/>
    <w:unhideWhenUsed/>
    <w:rsid w:val="000B2661"/>
    <w:pPr>
      <w:spacing w:after="0" w:line="240" w:lineRule="auto"/>
    </w:pPr>
    <w:rPr>
      <w:i/>
      <w:sz w:val="18"/>
      <w:szCs w:val="20"/>
    </w:rPr>
  </w:style>
  <w:style w:type="character" w:customStyle="1" w:styleId="DipnotMetniChar">
    <w:name w:val="Dipnot Metni Char"/>
    <w:basedOn w:val="VarsaylanParagrafYazTipi"/>
    <w:link w:val="DipnotMetni"/>
    <w:uiPriority w:val="99"/>
    <w:semiHidden/>
    <w:rsid w:val="000B2661"/>
    <w:rPr>
      <w:i/>
      <w:sz w:val="18"/>
      <w:szCs w:val="20"/>
    </w:rPr>
  </w:style>
  <w:style w:type="character" w:styleId="DipnotBavurusu">
    <w:name w:val="footnote reference"/>
    <w:basedOn w:val="VarsaylanParagrafYazTipi"/>
    <w:uiPriority w:val="99"/>
    <w:semiHidden/>
    <w:unhideWhenUsed/>
    <w:rsid w:val="00744729"/>
    <w:rPr>
      <w:vertAlign w:val="superscript"/>
    </w:rPr>
  </w:style>
  <w:style w:type="paragraph" w:styleId="ListeParagraf">
    <w:name w:val="List Paragraph"/>
    <w:basedOn w:val="Normal"/>
    <w:uiPriority w:val="34"/>
    <w:qFormat/>
    <w:rsid w:val="00DF5628"/>
    <w:pPr>
      <w:ind w:left="720"/>
      <w:contextualSpacing/>
    </w:pPr>
  </w:style>
  <w:style w:type="table" w:styleId="TabloKlavuzu">
    <w:name w:val="Table Grid"/>
    <w:basedOn w:val="NormalTablo"/>
    <w:uiPriority w:val="59"/>
    <w:rsid w:val="00D36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D21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219F"/>
  </w:style>
  <w:style w:type="paragraph" w:styleId="Altbilgi">
    <w:name w:val="footer"/>
    <w:basedOn w:val="Normal"/>
    <w:link w:val="AltbilgiChar"/>
    <w:uiPriority w:val="99"/>
    <w:unhideWhenUsed/>
    <w:rsid w:val="008D21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19F"/>
  </w:style>
  <w:style w:type="paragraph" w:styleId="BalonMetni">
    <w:name w:val="Balloon Text"/>
    <w:basedOn w:val="Normal"/>
    <w:link w:val="BalonMetniChar"/>
    <w:uiPriority w:val="99"/>
    <w:semiHidden/>
    <w:unhideWhenUsed/>
    <w:rsid w:val="00735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71D"/>
    <w:rPr>
      <w:rFonts w:ascii="Tahoma" w:hAnsi="Tahoma" w:cs="Tahoma"/>
      <w:sz w:val="16"/>
      <w:szCs w:val="16"/>
    </w:rPr>
  </w:style>
  <w:style w:type="character" w:styleId="Kpr">
    <w:name w:val="Hyperlink"/>
    <w:basedOn w:val="VarsaylanParagrafYazTipi"/>
    <w:uiPriority w:val="99"/>
    <w:unhideWhenUsed/>
    <w:rsid w:val="00F25AD4"/>
    <w:rPr>
      <w:color w:val="0000FF"/>
      <w:u w:val="single"/>
    </w:rPr>
  </w:style>
  <w:style w:type="character" w:styleId="HTMLCite">
    <w:name w:val="HTML Cite"/>
    <w:basedOn w:val="VarsaylanParagrafYazTipi"/>
    <w:uiPriority w:val="99"/>
    <w:semiHidden/>
    <w:unhideWhenUsed/>
    <w:rsid w:val="00F25AD4"/>
    <w:rPr>
      <w:i/>
      <w:iCs/>
    </w:rPr>
  </w:style>
  <w:style w:type="paragraph" w:styleId="NormalWeb">
    <w:name w:val="Normal (Web)"/>
    <w:basedOn w:val="Normal"/>
    <w:uiPriority w:val="99"/>
    <w:unhideWhenUsed/>
    <w:rsid w:val="00F25A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C26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D65C4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65C41"/>
    <w:rPr>
      <w:rFonts w:asciiTheme="majorHAnsi" w:eastAsiaTheme="majorEastAsia" w:hAnsiTheme="majorHAnsi" w:cstheme="majorBidi"/>
      <w:b/>
      <w:bCs/>
      <w:sz w:val="24"/>
      <w:szCs w:val="24"/>
    </w:rPr>
  </w:style>
  <w:style w:type="paragraph" w:styleId="TBal">
    <w:name w:val="TOC Heading"/>
    <w:basedOn w:val="Balk1"/>
    <w:next w:val="Normal"/>
    <w:uiPriority w:val="39"/>
    <w:semiHidden/>
    <w:unhideWhenUsed/>
    <w:qFormat/>
    <w:rsid w:val="00D65C41"/>
    <w:pPr>
      <w:outlineLvl w:val="9"/>
    </w:pPr>
    <w:rPr>
      <w:lang w:eastAsia="tr-TR"/>
    </w:rPr>
  </w:style>
  <w:style w:type="paragraph" w:styleId="T1">
    <w:name w:val="toc 1"/>
    <w:basedOn w:val="Normal"/>
    <w:next w:val="Normal"/>
    <w:autoRedefine/>
    <w:uiPriority w:val="39"/>
    <w:unhideWhenUsed/>
    <w:rsid w:val="00D65C41"/>
    <w:pPr>
      <w:spacing w:after="100"/>
    </w:pPr>
  </w:style>
  <w:style w:type="paragraph" w:styleId="T2">
    <w:name w:val="toc 2"/>
    <w:basedOn w:val="Normal"/>
    <w:next w:val="Normal"/>
    <w:autoRedefine/>
    <w:uiPriority w:val="39"/>
    <w:unhideWhenUsed/>
    <w:rsid w:val="00D65C41"/>
    <w:pPr>
      <w:spacing w:after="100"/>
      <w:ind w:left="220"/>
    </w:pPr>
  </w:style>
  <w:style w:type="character" w:customStyle="1" w:styleId="Balk3Char">
    <w:name w:val="Başlık 3 Char"/>
    <w:basedOn w:val="VarsaylanParagrafYazTipi"/>
    <w:link w:val="Balk3"/>
    <w:uiPriority w:val="9"/>
    <w:rsid w:val="00EA0316"/>
    <w:rPr>
      <w:rFonts w:asciiTheme="majorHAnsi" w:eastAsiaTheme="majorEastAsia" w:hAnsiTheme="majorHAnsi" w:cstheme="majorBidi"/>
      <w:b/>
      <w:bCs/>
    </w:rPr>
  </w:style>
  <w:style w:type="paragraph" w:styleId="ekillerTablosu">
    <w:name w:val="table of figures"/>
    <w:basedOn w:val="Normal"/>
    <w:next w:val="Normal"/>
    <w:uiPriority w:val="99"/>
    <w:unhideWhenUsed/>
    <w:rsid w:val="00D65C41"/>
    <w:pPr>
      <w:spacing w:after="0"/>
    </w:pPr>
  </w:style>
  <w:style w:type="paragraph" w:styleId="T3">
    <w:name w:val="toc 3"/>
    <w:basedOn w:val="Normal"/>
    <w:next w:val="Normal"/>
    <w:autoRedefine/>
    <w:uiPriority w:val="39"/>
    <w:unhideWhenUsed/>
    <w:rsid w:val="005011BA"/>
    <w:pPr>
      <w:spacing w:after="100"/>
      <w:ind w:left="440"/>
    </w:pPr>
  </w:style>
  <w:style w:type="paragraph" w:styleId="AralkYok">
    <w:name w:val="No Spacing"/>
    <w:link w:val="AralkYokChar"/>
    <w:uiPriority w:val="1"/>
    <w:qFormat/>
    <w:rsid w:val="00D91D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1D3E"/>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61"/>
  </w:style>
  <w:style w:type="paragraph" w:styleId="Balk1">
    <w:name w:val="heading 1"/>
    <w:basedOn w:val="Normal"/>
    <w:next w:val="Normal"/>
    <w:link w:val="Balk1Char"/>
    <w:uiPriority w:val="9"/>
    <w:qFormat/>
    <w:rsid w:val="00D65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65C41"/>
    <w:pPr>
      <w:keepNext/>
      <w:keepLines/>
      <w:spacing w:before="120" w:after="120"/>
      <w:outlineLvl w:val="1"/>
    </w:pPr>
    <w:rPr>
      <w:rFonts w:asciiTheme="majorHAnsi" w:eastAsiaTheme="majorEastAsia" w:hAnsiTheme="majorHAnsi" w:cstheme="majorBidi"/>
      <w:b/>
      <w:bCs/>
      <w:sz w:val="24"/>
      <w:szCs w:val="24"/>
    </w:rPr>
  </w:style>
  <w:style w:type="paragraph" w:styleId="Balk3">
    <w:name w:val="heading 3"/>
    <w:basedOn w:val="Normal"/>
    <w:next w:val="Normal"/>
    <w:link w:val="Balk3Char"/>
    <w:uiPriority w:val="9"/>
    <w:unhideWhenUsed/>
    <w:qFormat/>
    <w:rsid w:val="00EA0316"/>
    <w:pPr>
      <w:keepNext/>
      <w:keepLines/>
      <w:spacing w:before="120" w:after="120" w:line="240" w:lineRule="auto"/>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Bal">
    <w:name w:val="Tablo Başlığı"/>
    <w:basedOn w:val="Normal"/>
    <w:qFormat/>
    <w:rsid w:val="00D65C41"/>
    <w:pPr>
      <w:keepNext/>
      <w:spacing w:before="120" w:after="120" w:line="240" w:lineRule="auto"/>
      <w:jc w:val="center"/>
    </w:pPr>
    <w:rPr>
      <w:color w:val="FF0000"/>
    </w:rPr>
  </w:style>
  <w:style w:type="paragraph" w:styleId="Kaynaka">
    <w:name w:val="table of authorities"/>
    <w:aliases w:val="Kaynakça"/>
    <w:basedOn w:val="Normal"/>
    <w:next w:val="Normal"/>
    <w:uiPriority w:val="99"/>
    <w:unhideWhenUsed/>
    <w:qFormat/>
    <w:rsid w:val="0078499E"/>
    <w:pPr>
      <w:spacing w:before="240" w:after="240" w:line="240" w:lineRule="auto"/>
      <w:ind w:left="851" w:hanging="851"/>
    </w:pPr>
    <w:rPr>
      <w:rFonts w:ascii="Times New Roman" w:hAnsi="Times New Roman"/>
      <w:sz w:val="24"/>
    </w:rPr>
  </w:style>
  <w:style w:type="paragraph" w:styleId="DipnotMetni">
    <w:name w:val="footnote text"/>
    <w:basedOn w:val="Normal"/>
    <w:link w:val="DipnotMetniChar"/>
    <w:uiPriority w:val="99"/>
    <w:semiHidden/>
    <w:unhideWhenUsed/>
    <w:rsid w:val="000B2661"/>
    <w:pPr>
      <w:spacing w:after="0" w:line="240" w:lineRule="auto"/>
    </w:pPr>
    <w:rPr>
      <w:i/>
      <w:sz w:val="18"/>
      <w:szCs w:val="20"/>
    </w:rPr>
  </w:style>
  <w:style w:type="character" w:customStyle="1" w:styleId="DipnotMetniChar">
    <w:name w:val="Dipnot Metni Char"/>
    <w:basedOn w:val="VarsaylanParagrafYazTipi"/>
    <w:link w:val="DipnotMetni"/>
    <w:uiPriority w:val="99"/>
    <w:semiHidden/>
    <w:rsid w:val="000B2661"/>
    <w:rPr>
      <w:i/>
      <w:sz w:val="18"/>
      <w:szCs w:val="20"/>
    </w:rPr>
  </w:style>
  <w:style w:type="character" w:styleId="DipnotBavurusu">
    <w:name w:val="footnote reference"/>
    <w:basedOn w:val="VarsaylanParagrafYazTipi"/>
    <w:uiPriority w:val="99"/>
    <w:semiHidden/>
    <w:unhideWhenUsed/>
    <w:rsid w:val="00744729"/>
    <w:rPr>
      <w:vertAlign w:val="superscript"/>
    </w:rPr>
  </w:style>
  <w:style w:type="paragraph" w:styleId="ListeParagraf">
    <w:name w:val="List Paragraph"/>
    <w:basedOn w:val="Normal"/>
    <w:uiPriority w:val="34"/>
    <w:qFormat/>
    <w:rsid w:val="00DF5628"/>
    <w:pPr>
      <w:ind w:left="720"/>
      <w:contextualSpacing/>
    </w:pPr>
  </w:style>
  <w:style w:type="table" w:styleId="TabloKlavuzu">
    <w:name w:val="Table Grid"/>
    <w:basedOn w:val="NormalTablo"/>
    <w:uiPriority w:val="59"/>
    <w:rsid w:val="00D3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D21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219F"/>
  </w:style>
  <w:style w:type="paragraph" w:styleId="Altbilgi">
    <w:name w:val="footer"/>
    <w:basedOn w:val="Normal"/>
    <w:link w:val="AltbilgiChar"/>
    <w:uiPriority w:val="99"/>
    <w:unhideWhenUsed/>
    <w:rsid w:val="008D21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19F"/>
  </w:style>
  <w:style w:type="paragraph" w:styleId="BalonMetni">
    <w:name w:val="Balloon Text"/>
    <w:basedOn w:val="Normal"/>
    <w:link w:val="BalonMetniChar"/>
    <w:uiPriority w:val="99"/>
    <w:semiHidden/>
    <w:unhideWhenUsed/>
    <w:rsid w:val="00735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71D"/>
    <w:rPr>
      <w:rFonts w:ascii="Tahoma" w:hAnsi="Tahoma" w:cs="Tahoma"/>
      <w:sz w:val="16"/>
      <w:szCs w:val="16"/>
    </w:rPr>
  </w:style>
  <w:style w:type="character" w:styleId="Kpr">
    <w:name w:val="Hyperlink"/>
    <w:basedOn w:val="VarsaylanParagrafYazTipi"/>
    <w:uiPriority w:val="99"/>
    <w:unhideWhenUsed/>
    <w:rsid w:val="00F25AD4"/>
    <w:rPr>
      <w:color w:val="0000FF"/>
      <w:u w:val="single"/>
    </w:rPr>
  </w:style>
  <w:style w:type="character" w:styleId="HTMLCite">
    <w:name w:val="HTML Cite"/>
    <w:basedOn w:val="VarsaylanParagrafYazTipi"/>
    <w:uiPriority w:val="99"/>
    <w:semiHidden/>
    <w:unhideWhenUsed/>
    <w:rsid w:val="00F25AD4"/>
    <w:rPr>
      <w:i/>
      <w:iCs/>
    </w:rPr>
  </w:style>
  <w:style w:type="paragraph" w:styleId="NormalWeb">
    <w:name w:val="Normal (Web)"/>
    <w:basedOn w:val="Normal"/>
    <w:uiPriority w:val="99"/>
    <w:unhideWhenUsed/>
    <w:rsid w:val="00F25A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C26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D65C4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65C41"/>
    <w:rPr>
      <w:rFonts w:asciiTheme="majorHAnsi" w:eastAsiaTheme="majorEastAsia" w:hAnsiTheme="majorHAnsi" w:cstheme="majorBidi"/>
      <w:b/>
      <w:bCs/>
      <w:sz w:val="24"/>
      <w:szCs w:val="24"/>
    </w:rPr>
  </w:style>
  <w:style w:type="paragraph" w:styleId="TBal">
    <w:name w:val="TOC Heading"/>
    <w:basedOn w:val="Balk1"/>
    <w:next w:val="Normal"/>
    <w:uiPriority w:val="39"/>
    <w:semiHidden/>
    <w:unhideWhenUsed/>
    <w:qFormat/>
    <w:rsid w:val="00D65C41"/>
    <w:pPr>
      <w:outlineLvl w:val="9"/>
    </w:pPr>
    <w:rPr>
      <w:lang w:eastAsia="tr-TR"/>
    </w:rPr>
  </w:style>
  <w:style w:type="paragraph" w:styleId="T1">
    <w:name w:val="toc 1"/>
    <w:basedOn w:val="Normal"/>
    <w:next w:val="Normal"/>
    <w:autoRedefine/>
    <w:uiPriority w:val="39"/>
    <w:unhideWhenUsed/>
    <w:rsid w:val="00D65C41"/>
    <w:pPr>
      <w:spacing w:after="100"/>
    </w:pPr>
  </w:style>
  <w:style w:type="paragraph" w:styleId="T2">
    <w:name w:val="toc 2"/>
    <w:basedOn w:val="Normal"/>
    <w:next w:val="Normal"/>
    <w:autoRedefine/>
    <w:uiPriority w:val="39"/>
    <w:unhideWhenUsed/>
    <w:rsid w:val="00D65C41"/>
    <w:pPr>
      <w:spacing w:after="100"/>
      <w:ind w:left="220"/>
    </w:pPr>
  </w:style>
  <w:style w:type="character" w:customStyle="1" w:styleId="Balk3Char">
    <w:name w:val="Başlık 3 Char"/>
    <w:basedOn w:val="VarsaylanParagrafYazTipi"/>
    <w:link w:val="Balk3"/>
    <w:uiPriority w:val="9"/>
    <w:rsid w:val="00EA0316"/>
    <w:rPr>
      <w:rFonts w:asciiTheme="majorHAnsi" w:eastAsiaTheme="majorEastAsia" w:hAnsiTheme="majorHAnsi" w:cstheme="majorBidi"/>
      <w:b/>
      <w:bCs/>
    </w:rPr>
  </w:style>
  <w:style w:type="paragraph" w:styleId="ekillerTablosu">
    <w:name w:val="table of figures"/>
    <w:basedOn w:val="Normal"/>
    <w:next w:val="Normal"/>
    <w:uiPriority w:val="99"/>
    <w:unhideWhenUsed/>
    <w:rsid w:val="00D65C41"/>
    <w:pPr>
      <w:spacing w:after="0"/>
    </w:pPr>
  </w:style>
  <w:style w:type="paragraph" w:styleId="T3">
    <w:name w:val="toc 3"/>
    <w:basedOn w:val="Normal"/>
    <w:next w:val="Normal"/>
    <w:autoRedefine/>
    <w:uiPriority w:val="39"/>
    <w:unhideWhenUsed/>
    <w:rsid w:val="005011BA"/>
    <w:pPr>
      <w:spacing w:after="100"/>
      <w:ind w:left="440"/>
    </w:pPr>
  </w:style>
  <w:style w:type="paragraph" w:styleId="AralkYok">
    <w:name w:val="No Spacing"/>
    <w:link w:val="AralkYokChar"/>
    <w:uiPriority w:val="1"/>
    <w:qFormat/>
    <w:rsid w:val="00D91D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1D3E"/>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44791351">
      <w:bodyDiv w:val="1"/>
      <w:marLeft w:val="0"/>
      <w:marRight w:val="0"/>
      <w:marTop w:val="0"/>
      <w:marBottom w:val="0"/>
      <w:divBdr>
        <w:top w:val="none" w:sz="0" w:space="0" w:color="auto"/>
        <w:left w:val="none" w:sz="0" w:space="0" w:color="auto"/>
        <w:bottom w:val="none" w:sz="0" w:space="0" w:color="auto"/>
        <w:right w:val="none" w:sz="0" w:space="0" w:color="auto"/>
      </w:divBdr>
    </w:div>
    <w:div w:id="101649246">
      <w:bodyDiv w:val="1"/>
      <w:marLeft w:val="0"/>
      <w:marRight w:val="0"/>
      <w:marTop w:val="0"/>
      <w:marBottom w:val="0"/>
      <w:divBdr>
        <w:top w:val="none" w:sz="0" w:space="0" w:color="auto"/>
        <w:left w:val="none" w:sz="0" w:space="0" w:color="auto"/>
        <w:bottom w:val="none" w:sz="0" w:space="0" w:color="auto"/>
        <w:right w:val="none" w:sz="0" w:space="0" w:color="auto"/>
      </w:divBdr>
    </w:div>
    <w:div w:id="141705303">
      <w:bodyDiv w:val="1"/>
      <w:marLeft w:val="0"/>
      <w:marRight w:val="0"/>
      <w:marTop w:val="0"/>
      <w:marBottom w:val="0"/>
      <w:divBdr>
        <w:top w:val="none" w:sz="0" w:space="0" w:color="auto"/>
        <w:left w:val="none" w:sz="0" w:space="0" w:color="auto"/>
        <w:bottom w:val="none" w:sz="0" w:space="0" w:color="auto"/>
        <w:right w:val="none" w:sz="0" w:space="0" w:color="auto"/>
      </w:divBdr>
    </w:div>
    <w:div w:id="344595492">
      <w:bodyDiv w:val="1"/>
      <w:marLeft w:val="0"/>
      <w:marRight w:val="0"/>
      <w:marTop w:val="0"/>
      <w:marBottom w:val="0"/>
      <w:divBdr>
        <w:top w:val="none" w:sz="0" w:space="0" w:color="auto"/>
        <w:left w:val="none" w:sz="0" w:space="0" w:color="auto"/>
        <w:bottom w:val="none" w:sz="0" w:space="0" w:color="auto"/>
        <w:right w:val="none" w:sz="0" w:space="0" w:color="auto"/>
      </w:divBdr>
    </w:div>
    <w:div w:id="668992025">
      <w:bodyDiv w:val="1"/>
      <w:marLeft w:val="0"/>
      <w:marRight w:val="0"/>
      <w:marTop w:val="0"/>
      <w:marBottom w:val="0"/>
      <w:divBdr>
        <w:top w:val="none" w:sz="0" w:space="0" w:color="auto"/>
        <w:left w:val="none" w:sz="0" w:space="0" w:color="auto"/>
        <w:bottom w:val="none" w:sz="0" w:space="0" w:color="auto"/>
        <w:right w:val="none" w:sz="0" w:space="0" w:color="auto"/>
      </w:divBdr>
    </w:div>
    <w:div w:id="749616664">
      <w:bodyDiv w:val="1"/>
      <w:marLeft w:val="0"/>
      <w:marRight w:val="0"/>
      <w:marTop w:val="0"/>
      <w:marBottom w:val="0"/>
      <w:divBdr>
        <w:top w:val="none" w:sz="0" w:space="0" w:color="auto"/>
        <w:left w:val="none" w:sz="0" w:space="0" w:color="auto"/>
        <w:bottom w:val="none" w:sz="0" w:space="0" w:color="auto"/>
        <w:right w:val="none" w:sz="0" w:space="0" w:color="auto"/>
      </w:divBdr>
    </w:div>
    <w:div w:id="799345440">
      <w:bodyDiv w:val="1"/>
      <w:marLeft w:val="0"/>
      <w:marRight w:val="0"/>
      <w:marTop w:val="0"/>
      <w:marBottom w:val="0"/>
      <w:divBdr>
        <w:top w:val="none" w:sz="0" w:space="0" w:color="auto"/>
        <w:left w:val="none" w:sz="0" w:space="0" w:color="auto"/>
        <w:bottom w:val="none" w:sz="0" w:space="0" w:color="auto"/>
        <w:right w:val="none" w:sz="0" w:space="0" w:color="auto"/>
      </w:divBdr>
    </w:div>
    <w:div w:id="808520035">
      <w:bodyDiv w:val="1"/>
      <w:marLeft w:val="0"/>
      <w:marRight w:val="0"/>
      <w:marTop w:val="0"/>
      <w:marBottom w:val="0"/>
      <w:divBdr>
        <w:top w:val="none" w:sz="0" w:space="0" w:color="auto"/>
        <w:left w:val="none" w:sz="0" w:space="0" w:color="auto"/>
        <w:bottom w:val="none" w:sz="0" w:space="0" w:color="auto"/>
        <w:right w:val="none" w:sz="0" w:space="0" w:color="auto"/>
      </w:divBdr>
    </w:div>
    <w:div w:id="914128373">
      <w:bodyDiv w:val="1"/>
      <w:marLeft w:val="0"/>
      <w:marRight w:val="0"/>
      <w:marTop w:val="0"/>
      <w:marBottom w:val="0"/>
      <w:divBdr>
        <w:top w:val="none" w:sz="0" w:space="0" w:color="auto"/>
        <w:left w:val="none" w:sz="0" w:space="0" w:color="auto"/>
        <w:bottom w:val="none" w:sz="0" w:space="0" w:color="auto"/>
        <w:right w:val="none" w:sz="0" w:space="0" w:color="auto"/>
      </w:divBdr>
    </w:div>
    <w:div w:id="1072462180">
      <w:bodyDiv w:val="1"/>
      <w:marLeft w:val="0"/>
      <w:marRight w:val="0"/>
      <w:marTop w:val="0"/>
      <w:marBottom w:val="0"/>
      <w:divBdr>
        <w:top w:val="none" w:sz="0" w:space="0" w:color="auto"/>
        <w:left w:val="none" w:sz="0" w:space="0" w:color="auto"/>
        <w:bottom w:val="none" w:sz="0" w:space="0" w:color="auto"/>
        <w:right w:val="none" w:sz="0" w:space="0" w:color="auto"/>
      </w:divBdr>
    </w:div>
    <w:div w:id="1098674540">
      <w:bodyDiv w:val="1"/>
      <w:marLeft w:val="0"/>
      <w:marRight w:val="0"/>
      <w:marTop w:val="0"/>
      <w:marBottom w:val="0"/>
      <w:divBdr>
        <w:top w:val="none" w:sz="0" w:space="0" w:color="auto"/>
        <w:left w:val="none" w:sz="0" w:space="0" w:color="auto"/>
        <w:bottom w:val="none" w:sz="0" w:space="0" w:color="auto"/>
        <w:right w:val="none" w:sz="0" w:space="0" w:color="auto"/>
      </w:divBdr>
    </w:div>
    <w:div w:id="1100175640">
      <w:bodyDiv w:val="1"/>
      <w:marLeft w:val="0"/>
      <w:marRight w:val="0"/>
      <w:marTop w:val="0"/>
      <w:marBottom w:val="0"/>
      <w:divBdr>
        <w:top w:val="none" w:sz="0" w:space="0" w:color="auto"/>
        <w:left w:val="none" w:sz="0" w:space="0" w:color="auto"/>
        <w:bottom w:val="none" w:sz="0" w:space="0" w:color="auto"/>
        <w:right w:val="none" w:sz="0" w:space="0" w:color="auto"/>
      </w:divBdr>
    </w:div>
    <w:div w:id="1143155287">
      <w:bodyDiv w:val="1"/>
      <w:marLeft w:val="0"/>
      <w:marRight w:val="0"/>
      <w:marTop w:val="0"/>
      <w:marBottom w:val="0"/>
      <w:divBdr>
        <w:top w:val="none" w:sz="0" w:space="0" w:color="auto"/>
        <w:left w:val="none" w:sz="0" w:space="0" w:color="auto"/>
        <w:bottom w:val="none" w:sz="0" w:space="0" w:color="auto"/>
        <w:right w:val="none" w:sz="0" w:space="0" w:color="auto"/>
      </w:divBdr>
    </w:div>
    <w:div w:id="1149399008">
      <w:bodyDiv w:val="1"/>
      <w:marLeft w:val="0"/>
      <w:marRight w:val="0"/>
      <w:marTop w:val="0"/>
      <w:marBottom w:val="0"/>
      <w:divBdr>
        <w:top w:val="none" w:sz="0" w:space="0" w:color="auto"/>
        <w:left w:val="none" w:sz="0" w:space="0" w:color="auto"/>
        <w:bottom w:val="none" w:sz="0" w:space="0" w:color="auto"/>
        <w:right w:val="none" w:sz="0" w:space="0" w:color="auto"/>
      </w:divBdr>
    </w:div>
    <w:div w:id="1191526963">
      <w:bodyDiv w:val="1"/>
      <w:marLeft w:val="0"/>
      <w:marRight w:val="0"/>
      <w:marTop w:val="0"/>
      <w:marBottom w:val="0"/>
      <w:divBdr>
        <w:top w:val="none" w:sz="0" w:space="0" w:color="auto"/>
        <w:left w:val="none" w:sz="0" w:space="0" w:color="auto"/>
        <w:bottom w:val="none" w:sz="0" w:space="0" w:color="auto"/>
        <w:right w:val="none" w:sz="0" w:space="0" w:color="auto"/>
      </w:divBdr>
    </w:div>
    <w:div w:id="1365910629">
      <w:bodyDiv w:val="1"/>
      <w:marLeft w:val="0"/>
      <w:marRight w:val="0"/>
      <w:marTop w:val="0"/>
      <w:marBottom w:val="0"/>
      <w:divBdr>
        <w:top w:val="none" w:sz="0" w:space="0" w:color="auto"/>
        <w:left w:val="none" w:sz="0" w:space="0" w:color="auto"/>
        <w:bottom w:val="none" w:sz="0" w:space="0" w:color="auto"/>
        <w:right w:val="none" w:sz="0" w:space="0" w:color="auto"/>
      </w:divBdr>
    </w:div>
    <w:div w:id="1375083839">
      <w:bodyDiv w:val="1"/>
      <w:marLeft w:val="0"/>
      <w:marRight w:val="0"/>
      <w:marTop w:val="0"/>
      <w:marBottom w:val="0"/>
      <w:divBdr>
        <w:top w:val="none" w:sz="0" w:space="0" w:color="auto"/>
        <w:left w:val="none" w:sz="0" w:space="0" w:color="auto"/>
        <w:bottom w:val="none" w:sz="0" w:space="0" w:color="auto"/>
        <w:right w:val="none" w:sz="0" w:space="0" w:color="auto"/>
      </w:divBdr>
    </w:div>
    <w:div w:id="1448771460">
      <w:bodyDiv w:val="1"/>
      <w:marLeft w:val="0"/>
      <w:marRight w:val="0"/>
      <w:marTop w:val="0"/>
      <w:marBottom w:val="0"/>
      <w:divBdr>
        <w:top w:val="none" w:sz="0" w:space="0" w:color="auto"/>
        <w:left w:val="none" w:sz="0" w:space="0" w:color="auto"/>
        <w:bottom w:val="none" w:sz="0" w:space="0" w:color="auto"/>
        <w:right w:val="none" w:sz="0" w:space="0" w:color="auto"/>
      </w:divBdr>
      <w:divsChild>
        <w:div w:id="230431561">
          <w:marLeft w:val="0"/>
          <w:marRight w:val="0"/>
          <w:marTop w:val="0"/>
          <w:marBottom w:val="0"/>
          <w:divBdr>
            <w:top w:val="none" w:sz="0" w:space="0" w:color="auto"/>
            <w:left w:val="none" w:sz="0" w:space="0" w:color="auto"/>
            <w:bottom w:val="none" w:sz="0" w:space="0" w:color="auto"/>
            <w:right w:val="none" w:sz="0" w:space="0" w:color="auto"/>
          </w:divBdr>
        </w:div>
      </w:divsChild>
    </w:div>
    <w:div w:id="1467896141">
      <w:bodyDiv w:val="1"/>
      <w:marLeft w:val="0"/>
      <w:marRight w:val="0"/>
      <w:marTop w:val="0"/>
      <w:marBottom w:val="0"/>
      <w:divBdr>
        <w:top w:val="none" w:sz="0" w:space="0" w:color="auto"/>
        <w:left w:val="none" w:sz="0" w:space="0" w:color="auto"/>
        <w:bottom w:val="none" w:sz="0" w:space="0" w:color="auto"/>
        <w:right w:val="none" w:sz="0" w:space="0" w:color="auto"/>
      </w:divBdr>
    </w:div>
    <w:div w:id="1491214833">
      <w:bodyDiv w:val="1"/>
      <w:marLeft w:val="0"/>
      <w:marRight w:val="0"/>
      <w:marTop w:val="0"/>
      <w:marBottom w:val="0"/>
      <w:divBdr>
        <w:top w:val="none" w:sz="0" w:space="0" w:color="auto"/>
        <w:left w:val="none" w:sz="0" w:space="0" w:color="auto"/>
        <w:bottom w:val="none" w:sz="0" w:space="0" w:color="auto"/>
        <w:right w:val="none" w:sz="0" w:space="0" w:color="auto"/>
      </w:divBdr>
    </w:div>
    <w:div w:id="1615745580">
      <w:bodyDiv w:val="1"/>
      <w:marLeft w:val="0"/>
      <w:marRight w:val="0"/>
      <w:marTop w:val="0"/>
      <w:marBottom w:val="0"/>
      <w:divBdr>
        <w:top w:val="none" w:sz="0" w:space="0" w:color="auto"/>
        <w:left w:val="none" w:sz="0" w:space="0" w:color="auto"/>
        <w:bottom w:val="none" w:sz="0" w:space="0" w:color="auto"/>
        <w:right w:val="none" w:sz="0" w:space="0" w:color="auto"/>
      </w:divBdr>
    </w:div>
    <w:div w:id="1686395783">
      <w:bodyDiv w:val="1"/>
      <w:marLeft w:val="0"/>
      <w:marRight w:val="0"/>
      <w:marTop w:val="0"/>
      <w:marBottom w:val="0"/>
      <w:divBdr>
        <w:top w:val="none" w:sz="0" w:space="0" w:color="auto"/>
        <w:left w:val="none" w:sz="0" w:space="0" w:color="auto"/>
        <w:bottom w:val="none" w:sz="0" w:space="0" w:color="auto"/>
        <w:right w:val="none" w:sz="0" w:space="0" w:color="auto"/>
      </w:divBdr>
    </w:div>
    <w:div w:id="1726491482">
      <w:bodyDiv w:val="1"/>
      <w:marLeft w:val="0"/>
      <w:marRight w:val="0"/>
      <w:marTop w:val="0"/>
      <w:marBottom w:val="0"/>
      <w:divBdr>
        <w:top w:val="none" w:sz="0" w:space="0" w:color="auto"/>
        <w:left w:val="none" w:sz="0" w:space="0" w:color="auto"/>
        <w:bottom w:val="none" w:sz="0" w:space="0" w:color="auto"/>
        <w:right w:val="none" w:sz="0" w:space="0" w:color="auto"/>
      </w:divBdr>
    </w:div>
    <w:div w:id="1727529640">
      <w:bodyDiv w:val="1"/>
      <w:marLeft w:val="0"/>
      <w:marRight w:val="0"/>
      <w:marTop w:val="0"/>
      <w:marBottom w:val="0"/>
      <w:divBdr>
        <w:top w:val="none" w:sz="0" w:space="0" w:color="auto"/>
        <w:left w:val="none" w:sz="0" w:space="0" w:color="auto"/>
        <w:bottom w:val="none" w:sz="0" w:space="0" w:color="auto"/>
        <w:right w:val="none" w:sz="0" w:space="0" w:color="auto"/>
      </w:divBdr>
    </w:div>
    <w:div w:id="1738162544">
      <w:bodyDiv w:val="1"/>
      <w:marLeft w:val="0"/>
      <w:marRight w:val="0"/>
      <w:marTop w:val="0"/>
      <w:marBottom w:val="0"/>
      <w:divBdr>
        <w:top w:val="none" w:sz="0" w:space="0" w:color="auto"/>
        <w:left w:val="none" w:sz="0" w:space="0" w:color="auto"/>
        <w:bottom w:val="none" w:sz="0" w:space="0" w:color="auto"/>
        <w:right w:val="none" w:sz="0" w:space="0" w:color="auto"/>
      </w:divBdr>
    </w:div>
    <w:div w:id="1887637228">
      <w:bodyDiv w:val="1"/>
      <w:marLeft w:val="0"/>
      <w:marRight w:val="0"/>
      <w:marTop w:val="0"/>
      <w:marBottom w:val="0"/>
      <w:divBdr>
        <w:top w:val="none" w:sz="0" w:space="0" w:color="auto"/>
        <w:left w:val="none" w:sz="0" w:space="0" w:color="auto"/>
        <w:bottom w:val="none" w:sz="0" w:space="0" w:color="auto"/>
        <w:right w:val="none" w:sz="0" w:space="0" w:color="auto"/>
      </w:divBdr>
    </w:div>
    <w:div w:id="1954552353">
      <w:bodyDiv w:val="1"/>
      <w:marLeft w:val="0"/>
      <w:marRight w:val="0"/>
      <w:marTop w:val="0"/>
      <w:marBottom w:val="0"/>
      <w:divBdr>
        <w:top w:val="none" w:sz="0" w:space="0" w:color="auto"/>
        <w:left w:val="none" w:sz="0" w:space="0" w:color="auto"/>
        <w:bottom w:val="none" w:sz="0" w:space="0" w:color="auto"/>
        <w:right w:val="none" w:sz="0" w:space="0" w:color="auto"/>
      </w:divBdr>
    </w:div>
    <w:div w:id="1956206206">
      <w:bodyDiv w:val="1"/>
      <w:marLeft w:val="0"/>
      <w:marRight w:val="0"/>
      <w:marTop w:val="0"/>
      <w:marBottom w:val="0"/>
      <w:divBdr>
        <w:top w:val="none" w:sz="0" w:space="0" w:color="auto"/>
        <w:left w:val="none" w:sz="0" w:space="0" w:color="auto"/>
        <w:bottom w:val="none" w:sz="0" w:space="0" w:color="auto"/>
        <w:right w:val="none" w:sz="0" w:space="0" w:color="auto"/>
      </w:divBdr>
    </w:div>
    <w:div w:id="1972444186">
      <w:bodyDiv w:val="1"/>
      <w:marLeft w:val="0"/>
      <w:marRight w:val="0"/>
      <w:marTop w:val="0"/>
      <w:marBottom w:val="0"/>
      <w:divBdr>
        <w:top w:val="none" w:sz="0" w:space="0" w:color="auto"/>
        <w:left w:val="none" w:sz="0" w:space="0" w:color="auto"/>
        <w:bottom w:val="none" w:sz="0" w:space="0" w:color="auto"/>
        <w:right w:val="none" w:sz="0" w:space="0" w:color="auto"/>
      </w:divBdr>
    </w:div>
    <w:div w:id="2040737211">
      <w:bodyDiv w:val="1"/>
      <w:marLeft w:val="0"/>
      <w:marRight w:val="0"/>
      <w:marTop w:val="0"/>
      <w:marBottom w:val="0"/>
      <w:divBdr>
        <w:top w:val="none" w:sz="0" w:space="0" w:color="auto"/>
        <w:left w:val="none" w:sz="0" w:space="0" w:color="auto"/>
        <w:bottom w:val="none" w:sz="0" w:space="0" w:color="auto"/>
        <w:right w:val="none" w:sz="0" w:space="0" w:color="auto"/>
      </w:divBdr>
    </w:div>
    <w:div w:id="2047638410">
      <w:bodyDiv w:val="1"/>
      <w:marLeft w:val="0"/>
      <w:marRight w:val="0"/>
      <w:marTop w:val="0"/>
      <w:marBottom w:val="0"/>
      <w:divBdr>
        <w:top w:val="none" w:sz="0" w:space="0" w:color="auto"/>
        <w:left w:val="none" w:sz="0" w:space="0" w:color="auto"/>
        <w:bottom w:val="none" w:sz="0" w:space="0" w:color="auto"/>
        <w:right w:val="none" w:sz="0" w:space="0" w:color="auto"/>
      </w:divBdr>
    </w:div>
    <w:div w:id="2048328948">
      <w:bodyDiv w:val="1"/>
      <w:marLeft w:val="0"/>
      <w:marRight w:val="0"/>
      <w:marTop w:val="0"/>
      <w:marBottom w:val="0"/>
      <w:divBdr>
        <w:top w:val="none" w:sz="0" w:space="0" w:color="auto"/>
        <w:left w:val="none" w:sz="0" w:space="0" w:color="auto"/>
        <w:bottom w:val="none" w:sz="0" w:space="0" w:color="auto"/>
        <w:right w:val="none" w:sz="0" w:space="0" w:color="auto"/>
      </w:divBdr>
    </w:div>
    <w:div w:id="2059165138">
      <w:bodyDiv w:val="1"/>
      <w:marLeft w:val="0"/>
      <w:marRight w:val="0"/>
      <w:marTop w:val="0"/>
      <w:marBottom w:val="0"/>
      <w:divBdr>
        <w:top w:val="none" w:sz="0" w:space="0" w:color="auto"/>
        <w:left w:val="none" w:sz="0" w:space="0" w:color="auto"/>
        <w:bottom w:val="none" w:sz="0" w:space="0" w:color="auto"/>
        <w:right w:val="none" w:sz="0" w:space="0" w:color="auto"/>
      </w:divBdr>
    </w:div>
    <w:div w:id="2074229893">
      <w:bodyDiv w:val="1"/>
      <w:marLeft w:val="0"/>
      <w:marRight w:val="0"/>
      <w:marTop w:val="0"/>
      <w:marBottom w:val="0"/>
      <w:divBdr>
        <w:top w:val="none" w:sz="0" w:space="0" w:color="auto"/>
        <w:left w:val="none" w:sz="0" w:space="0" w:color="auto"/>
        <w:bottom w:val="none" w:sz="0" w:space="0" w:color="auto"/>
        <w:right w:val="none" w:sz="0" w:space="0" w:color="auto"/>
      </w:divBdr>
    </w:div>
    <w:div w:id="2075161238">
      <w:bodyDiv w:val="1"/>
      <w:marLeft w:val="0"/>
      <w:marRight w:val="0"/>
      <w:marTop w:val="0"/>
      <w:marBottom w:val="0"/>
      <w:divBdr>
        <w:top w:val="none" w:sz="0" w:space="0" w:color="auto"/>
        <w:left w:val="none" w:sz="0" w:space="0" w:color="auto"/>
        <w:bottom w:val="none" w:sz="0" w:space="0" w:color="auto"/>
        <w:right w:val="none" w:sz="0" w:space="0" w:color="auto"/>
      </w:divBdr>
    </w:div>
    <w:div w:id="2102754599">
      <w:bodyDiv w:val="1"/>
      <w:marLeft w:val="0"/>
      <w:marRight w:val="0"/>
      <w:marTop w:val="0"/>
      <w:marBottom w:val="0"/>
      <w:divBdr>
        <w:top w:val="none" w:sz="0" w:space="0" w:color="auto"/>
        <w:left w:val="none" w:sz="0" w:space="0" w:color="auto"/>
        <w:bottom w:val="none" w:sz="0" w:space="0" w:color="auto"/>
        <w:right w:val="none" w:sz="0" w:space="0" w:color="auto"/>
      </w:divBdr>
    </w:div>
    <w:div w:id="21206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tu&#287;rul\Desktop\SHD\SGK%20&#304;statistikleri%20Raporu%20Haz&#305;rl&#305;&#287;&#305;\T&#252;rkiyede%20&#304;&#351;%20Kazas&#305;%20ve%20Meslek%20Hastal&#305;klar&#305;%20Tablosu_1995-2010_&#199;SGB.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tr-TR"/>
  <c:chart>
    <c:autoTitleDeleted val="1"/>
    <c:plotArea>
      <c:layout/>
      <c:barChart>
        <c:barDir val="col"/>
        <c:grouping val="clustered"/>
        <c:ser>
          <c:idx val="0"/>
          <c:order val="0"/>
          <c:tx>
            <c:v>Yüzbin işçide iş kazası sayısı</c:v>
          </c:tx>
          <c:dLbls>
            <c:dLbl>
              <c:idx val="13"/>
              <c:tx>
                <c:rich>
                  <a:bodyPr/>
                  <a:lstStyle/>
                  <a:p>
                    <a:r>
                      <a:rPr lang="en-US"/>
                      <a:t>2</a:t>
                    </a:r>
                    <a:r>
                      <a:rPr lang="tr-TR"/>
                      <a:t>.</a:t>
                    </a:r>
                    <a:r>
                      <a:rPr lang="en-US"/>
                      <a:t>240</a:t>
                    </a:r>
                  </a:p>
                </c:rich>
              </c:tx>
              <c:showVal val="1"/>
            </c:dLbl>
            <c:showVal val="1"/>
          </c:dLbls>
          <c:cat>
            <c:numRef>
              <c:f>'1961-2010'!$A$3:$A$16</c:f>
              <c:numCache>
                <c:formatCode>General</c:formatCode>
                <c:ptCount val="14"/>
                <c:pt idx="0">
                  <c:v>1961</c:v>
                </c:pt>
                <c:pt idx="1">
                  <c:v>1965</c:v>
                </c:pt>
                <c:pt idx="2">
                  <c:v>1970</c:v>
                </c:pt>
                <c:pt idx="3">
                  <c:v>1975</c:v>
                </c:pt>
                <c:pt idx="4">
                  <c:v>1980</c:v>
                </c:pt>
                <c:pt idx="5">
                  <c:v>1985</c:v>
                </c:pt>
                <c:pt idx="6">
                  <c:v>1990</c:v>
                </c:pt>
                <c:pt idx="7">
                  <c:v>1995</c:v>
                </c:pt>
                <c:pt idx="8">
                  <c:v>2000</c:v>
                </c:pt>
                <c:pt idx="9">
                  <c:v>2005</c:v>
                </c:pt>
                <c:pt idx="10">
                  <c:v>2010</c:v>
                </c:pt>
                <c:pt idx="11">
                  <c:v>2012</c:v>
                </c:pt>
                <c:pt idx="12">
                  <c:v>2015</c:v>
                </c:pt>
                <c:pt idx="13">
                  <c:v>2017</c:v>
                </c:pt>
              </c:numCache>
            </c:numRef>
          </c:cat>
          <c:val>
            <c:numRef>
              <c:f>'1961-2010'!$B$3:$B$16</c:f>
              <c:numCache>
                <c:formatCode>#,##0</c:formatCode>
                <c:ptCount val="14"/>
                <c:pt idx="0">
                  <c:v>9966</c:v>
                </c:pt>
                <c:pt idx="1">
                  <c:v>9383</c:v>
                </c:pt>
                <c:pt idx="2">
                  <c:v>10965</c:v>
                </c:pt>
                <c:pt idx="3">
                  <c:v>10017</c:v>
                </c:pt>
                <c:pt idx="4">
                  <c:v>7239</c:v>
                </c:pt>
                <c:pt idx="5">
                  <c:v>5676</c:v>
                </c:pt>
                <c:pt idx="6">
                  <c:v>4522</c:v>
                </c:pt>
                <c:pt idx="7">
                  <c:v>2112</c:v>
                </c:pt>
                <c:pt idx="8">
                  <c:v>1425</c:v>
                </c:pt>
                <c:pt idx="9">
                  <c:v>1070</c:v>
                </c:pt>
                <c:pt idx="10">
                  <c:v>627</c:v>
                </c:pt>
                <c:pt idx="11">
                  <c:v>550</c:v>
                </c:pt>
                <c:pt idx="12">
                  <c:v>1520</c:v>
                </c:pt>
                <c:pt idx="13" formatCode="General">
                  <c:v>2240</c:v>
                </c:pt>
              </c:numCache>
            </c:numRef>
          </c:val>
        </c:ser>
        <c:dLbls>
          <c:showVal val="1"/>
        </c:dLbls>
        <c:axId val="78215808"/>
        <c:axId val="80885248"/>
      </c:barChart>
      <c:catAx>
        <c:axId val="78215808"/>
        <c:scaling>
          <c:orientation val="minMax"/>
        </c:scaling>
        <c:axPos val="b"/>
        <c:numFmt formatCode="General" sourceLinked="1"/>
        <c:tickLblPos val="nextTo"/>
        <c:crossAx val="80885248"/>
        <c:crosses val="autoZero"/>
        <c:auto val="1"/>
        <c:lblAlgn val="ctr"/>
        <c:lblOffset val="100"/>
      </c:catAx>
      <c:valAx>
        <c:axId val="80885248"/>
        <c:scaling>
          <c:orientation val="minMax"/>
        </c:scaling>
        <c:axPos val="l"/>
        <c:majorGridlines/>
        <c:numFmt formatCode="#,##0" sourceLinked="1"/>
        <c:tickLblPos val="nextTo"/>
        <c:crossAx val="7821580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style val="4"/>
  <c:chart>
    <c:autoTitleDeleted val="1"/>
    <c:plotArea>
      <c:layout/>
      <c:barChart>
        <c:barDir val="col"/>
        <c:grouping val="clustered"/>
        <c:ser>
          <c:idx val="0"/>
          <c:order val="0"/>
          <c:cat>
            <c:strRef>
              <c:f>Sayfa2!$B$2:$B$19</c:f>
              <c:strCache>
                <c:ptCount val="18"/>
                <c:pt idx="0">
                  <c:v>İstanbul</c:v>
                </c:pt>
                <c:pt idx="1">
                  <c:v>Ankara</c:v>
                </c:pt>
                <c:pt idx="2">
                  <c:v>İzmir</c:v>
                </c:pt>
                <c:pt idx="3">
                  <c:v>Bursa</c:v>
                </c:pt>
                <c:pt idx="4">
                  <c:v>Antalya</c:v>
                </c:pt>
                <c:pt idx="5">
                  <c:v>Adana</c:v>
                </c:pt>
                <c:pt idx="6">
                  <c:v>Mersin</c:v>
                </c:pt>
                <c:pt idx="7">
                  <c:v>Kocaeli</c:v>
                </c:pt>
                <c:pt idx="8">
                  <c:v>Konya</c:v>
                </c:pt>
                <c:pt idx="9">
                  <c:v>Kayseri</c:v>
                </c:pt>
                <c:pt idx="10">
                  <c:v>Tekirdağ</c:v>
                </c:pt>
                <c:pt idx="11">
                  <c:v>Gaziantep</c:v>
                </c:pt>
                <c:pt idx="12">
                  <c:v>Manisa</c:v>
                </c:pt>
                <c:pt idx="13">
                  <c:v>Balıkesir</c:v>
                </c:pt>
                <c:pt idx="14">
                  <c:v>Hatay</c:v>
                </c:pt>
                <c:pt idx="15">
                  <c:v>15 Şehir</c:v>
                </c:pt>
                <c:pt idx="16">
                  <c:v>Diğer</c:v>
                </c:pt>
                <c:pt idx="17">
                  <c:v>TOPLAM</c:v>
                </c:pt>
              </c:strCache>
            </c:strRef>
          </c:cat>
          <c:val>
            <c:numRef>
              <c:f>Sayfa2!$C$2:$C$19</c:f>
            </c:numRef>
          </c:val>
        </c:ser>
        <c:ser>
          <c:idx val="1"/>
          <c:order val="1"/>
          <c:cat>
            <c:strRef>
              <c:f>Sayfa2!$B$2:$B$19</c:f>
              <c:strCache>
                <c:ptCount val="18"/>
                <c:pt idx="0">
                  <c:v>İstanbul</c:v>
                </c:pt>
                <c:pt idx="1">
                  <c:v>Ankara</c:v>
                </c:pt>
                <c:pt idx="2">
                  <c:v>İzmir</c:v>
                </c:pt>
                <c:pt idx="3">
                  <c:v>Bursa</c:v>
                </c:pt>
                <c:pt idx="4">
                  <c:v>Antalya</c:v>
                </c:pt>
                <c:pt idx="5">
                  <c:v>Adana</c:v>
                </c:pt>
                <c:pt idx="6">
                  <c:v>Mersin</c:v>
                </c:pt>
                <c:pt idx="7">
                  <c:v>Kocaeli</c:v>
                </c:pt>
                <c:pt idx="8">
                  <c:v>Konya</c:v>
                </c:pt>
                <c:pt idx="9">
                  <c:v>Kayseri</c:v>
                </c:pt>
                <c:pt idx="10">
                  <c:v>Tekirdağ</c:v>
                </c:pt>
                <c:pt idx="11">
                  <c:v>Gaziantep</c:v>
                </c:pt>
                <c:pt idx="12">
                  <c:v>Manisa</c:v>
                </c:pt>
                <c:pt idx="13">
                  <c:v>Balıkesir</c:v>
                </c:pt>
                <c:pt idx="14">
                  <c:v>Hatay</c:v>
                </c:pt>
                <c:pt idx="15">
                  <c:v>15 Şehir</c:v>
                </c:pt>
                <c:pt idx="16">
                  <c:v>Diğer</c:v>
                </c:pt>
                <c:pt idx="17">
                  <c:v>TOPLAM</c:v>
                </c:pt>
              </c:strCache>
            </c:strRef>
          </c:cat>
          <c:val>
            <c:numRef>
              <c:f>Sayfa2!$D$2:$D$19</c:f>
            </c:numRef>
          </c:val>
        </c:ser>
        <c:ser>
          <c:idx val="2"/>
          <c:order val="2"/>
          <c:tx>
            <c:v>Yüzbin işçide ölüm hızı</c:v>
          </c:tx>
          <c:cat>
            <c:strRef>
              <c:f>Sayfa2!$B$2:$B$19</c:f>
              <c:strCache>
                <c:ptCount val="18"/>
                <c:pt idx="0">
                  <c:v>İstanbul</c:v>
                </c:pt>
                <c:pt idx="1">
                  <c:v>Ankara</c:v>
                </c:pt>
                <c:pt idx="2">
                  <c:v>İzmir</c:v>
                </c:pt>
                <c:pt idx="3">
                  <c:v>Bursa</c:v>
                </c:pt>
                <c:pt idx="4">
                  <c:v>Antalya</c:v>
                </c:pt>
                <c:pt idx="5">
                  <c:v>Adana</c:v>
                </c:pt>
                <c:pt idx="6">
                  <c:v>Mersin</c:v>
                </c:pt>
                <c:pt idx="7">
                  <c:v>Kocaeli</c:v>
                </c:pt>
                <c:pt idx="8">
                  <c:v>Konya</c:v>
                </c:pt>
                <c:pt idx="9">
                  <c:v>Kayseri</c:v>
                </c:pt>
                <c:pt idx="10">
                  <c:v>Tekirdağ</c:v>
                </c:pt>
                <c:pt idx="11">
                  <c:v>Gaziantep</c:v>
                </c:pt>
                <c:pt idx="12">
                  <c:v>Manisa</c:v>
                </c:pt>
                <c:pt idx="13">
                  <c:v>Balıkesir</c:v>
                </c:pt>
                <c:pt idx="14">
                  <c:v>Hatay</c:v>
                </c:pt>
                <c:pt idx="15">
                  <c:v>15 Şehir</c:v>
                </c:pt>
                <c:pt idx="16">
                  <c:v>Diğer</c:v>
                </c:pt>
                <c:pt idx="17">
                  <c:v>TOPLAM</c:v>
                </c:pt>
              </c:strCache>
            </c:strRef>
          </c:cat>
          <c:val>
            <c:numRef>
              <c:f>Sayfa2!$E$2:$E$19</c:f>
              <c:numCache>
                <c:formatCode>0.0</c:formatCode>
                <c:ptCount val="18"/>
                <c:pt idx="0">
                  <c:v>7.3941792124975061</c:v>
                </c:pt>
                <c:pt idx="1">
                  <c:v>8.5364292116607672</c:v>
                </c:pt>
                <c:pt idx="2">
                  <c:v>9.4220607137756502</c:v>
                </c:pt>
                <c:pt idx="3">
                  <c:v>9.5107686655349237</c:v>
                </c:pt>
                <c:pt idx="4">
                  <c:v>11.442821405178464</c:v>
                </c:pt>
                <c:pt idx="5">
                  <c:v>14.675354476516766</c:v>
                </c:pt>
                <c:pt idx="6">
                  <c:v>15.686223247636445</c:v>
                </c:pt>
                <c:pt idx="7">
                  <c:v>8.4119054062950269</c:v>
                </c:pt>
                <c:pt idx="8">
                  <c:v>10.999285046471979</c:v>
                </c:pt>
                <c:pt idx="9">
                  <c:v>13.65472815042691</c:v>
                </c:pt>
                <c:pt idx="10">
                  <c:v>11.351323461121718</c:v>
                </c:pt>
                <c:pt idx="11">
                  <c:v>9.3290038730412892</c:v>
                </c:pt>
                <c:pt idx="12">
                  <c:v>10.708265399176495</c:v>
                </c:pt>
                <c:pt idx="13">
                  <c:v>13.705670721260923</c:v>
                </c:pt>
                <c:pt idx="14">
                  <c:v>12.921813456872249</c:v>
                </c:pt>
                <c:pt idx="15">
                  <c:v>9.2719307336200032</c:v>
                </c:pt>
                <c:pt idx="16">
                  <c:v>11.532810551815565</c:v>
                </c:pt>
                <c:pt idx="17">
                  <c:v>9.9761299861024497</c:v>
                </c:pt>
              </c:numCache>
            </c:numRef>
          </c:val>
        </c:ser>
        <c:gapWidth val="75"/>
        <c:overlap val="-25"/>
        <c:axId val="62103936"/>
        <c:axId val="62105472"/>
      </c:barChart>
      <c:catAx>
        <c:axId val="62103936"/>
        <c:scaling>
          <c:orientation val="minMax"/>
        </c:scaling>
        <c:axPos val="b"/>
        <c:majorTickMark val="none"/>
        <c:tickLblPos val="nextTo"/>
        <c:crossAx val="62105472"/>
        <c:crosses val="autoZero"/>
        <c:auto val="1"/>
        <c:lblAlgn val="ctr"/>
        <c:lblOffset val="100"/>
      </c:catAx>
      <c:valAx>
        <c:axId val="62105472"/>
        <c:scaling>
          <c:orientation val="minMax"/>
        </c:scaling>
        <c:axPos val="l"/>
        <c:majorGridlines/>
        <c:numFmt formatCode="0.0" sourceLinked="1"/>
        <c:majorTickMark val="none"/>
        <c:tickLblPos val="nextTo"/>
        <c:crossAx val="62103936"/>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clustered"/>
        <c:ser>
          <c:idx val="0"/>
          <c:order val="0"/>
          <c:tx>
            <c:v>2015</c:v>
          </c:tx>
          <c:dLbls>
            <c:delete val="1"/>
          </c:dLbls>
          <c:cat>
            <c:strRef>
              <c:f>Sayfa1!$A$2:$A$13</c:f>
              <c:strCache>
                <c:ptCount val="12"/>
                <c:pt idx="0">
                  <c:v>Hollanda</c:v>
                </c:pt>
                <c:pt idx="1">
                  <c:v>İsveç</c:v>
                </c:pt>
                <c:pt idx="2">
                  <c:v>İngiltere</c:v>
                </c:pt>
                <c:pt idx="3">
                  <c:v>Almanya</c:v>
                </c:pt>
                <c:pt idx="4">
                  <c:v>İspanya</c:v>
                </c:pt>
                <c:pt idx="5">
                  <c:v>Fransa</c:v>
                </c:pt>
                <c:pt idx="6">
                  <c:v>İtalya</c:v>
                </c:pt>
                <c:pt idx="7">
                  <c:v>Romanya</c:v>
                </c:pt>
                <c:pt idx="8">
                  <c:v>Lüxemburg</c:v>
                </c:pt>
                <c:pt idx="9">
                  <c:v>AB-15</c:v>
                </c:pt>
                <c:pt idx="10">
                  <c:v>AB</c:v>
                </c:pt>
                <c:pt idx="11">
                  <c:v>Türkiye (İşçiler)</c:v>
                </c:pt>
              </c:strCache>
            </c:strRef>
          </c:cat>
          <c:val>
            <c:numRef>
              <c:f>Sayfa1!$B$2:$B$13</c:f>
              <c:numCache>
                <c:formatCode>General</c:formatCode>
                <c:ptCount val="12"/>
                <c:pt idx="0">
                  <c:v>0.5</c:v>
                </c:pt>
                <c:pt idx="1">
                  <c:v>0.7300000000000002</c:v>
                </c:pt>
                <c:pt idx="2">
                  <c:v>0.83000000000000018</c:v>
                </c:pt>
                <c:pt idx="3">
                  <c:v>0.9700000000000002</c:v>
                </c:pt>
                <c:pt idx="4">
                  <c:v>2.2999999999999998</c:v>
                </c:pt>
                <c:pt idx="5">
                  <c:v>2.57</c:v>
                </c:pt>
                <c:pt idx="6">
                  <c:v>2.42</c:v>
                </c:pt>
                <c:pt idx="7">
                  <c:v>5.56</c:v>
                </c:pt>
                <c:pt idx="8">
                  <c:v>3.3</c:v>
                </c:pt>
                <c:pt idx="9">
                  <c:v>1.61</c:v>
                </c:pt>
                <c:pt idx="10">
                  <c:v>1.83</c:v>
                </c:pt>
                <c:pt idx="11">
                  <c:v>8.9</c:v>
                </c:pt>
              </c:numCache>
            </c:numRef>
          </c:val>
        </c:ser>
        <c:ser>
          <c:idx val="1"/>
          <c:order val="1"/>
          <c:tx>
            <c:v>2016</c:v>
          </c:tx>
          <c:dLbls>
            <c:dLbl>
              <c:idx val="0"/>
              <c:layout>
                <c:manualLayout>
                  <c:x val="6.4102564102564118E-3"/>
                  <c:y val="0"/>
                </c:manualLayout>
              </c:layout>
              <c:dLblPos val="outEnd"/>
              <c:showVal val="1"/>
            </c:dLbl>
            <c:dLbl>
              <c:idx val="1"/>
              <c:layout>
                <c:manualLayout>
                  <c:x val="6.4102564102564317E-3"/>
                  <c:y val="0"/>
                </c:manualLayout>
              </c:layout>
              <c:dLblPos val="outEnd"/>
              <c:showVal val="1"/>
            </c:dLbl>
            <c:dLbl>
              <c:idx val="7"/>
              <c:layout>
                <c:manualLayout>
                  <c:x val="1.9230769230769319E-2"/>
                  <c:y val="1.1594202898550725E-2"/>
                </c:manualLayout>
              </c:layout>
              <c:dLblPos val="outEnd"/>
              <c:showVal val="1"/>
            </c:dLbl>
            <c:dLblPos val="outEnd"/>
            <c:showVal val="1"/>
          </c:dLbls>
          <c:cat>
            <c:strRef>
              <c:f>Sayfa1!$A$2:$A$13</c:f>
              <c:strCache>
                <c:ptCount val="12"/>
                <c:pt idx="0">
                  <c:v>Hollanda</c:v>
                </c:pt>
                <c:pt idx="1">
                  <c:v>İsveç</c:v>
                </c:pt>
                <c:pt idx="2">
                  <c:v>İngiltere</c:v>
                </c:pt>
                <c:pt idx="3">
                  <c:v>Almanya</c:v>
                </c:pt>
                <c:pt idx="4">
                  <c:v>İspanya</c:v>
                </c:pt>
                <c:pt idx="5">
                  <c:v>Fransa</c:v>
                </c:pt>
                <c:pt idx="6">
                  <c:v>İtalya</c:v>
                </c:pt>
                <c:pt idx="7">
                  <c:v>Romanya</c:v>
                </c:pt>
                <c:pt idx="8">
                  <c:v>Lüxemburg</c:v>
                </c:pt>
                <c:pt idx="9">
                  <c:v>AB-15</c:v>
                </c:pt>
                <c:pt idx="10">
                  <c:v>AB</c:v>
                </c:pt>
                <c:pt idx="11">
                  <c:v>Türkiye (İşçiler)</c:v>
                </c:pt>
              </c:strCache>
            </c:strRef>
          </c:cat>
          <c:val>
            <c:numRef>
              <c:f>Sayfa1!$C$2:$C$13</c:f>
              <c:numCache>
                <c:formatCode>General</c:formatCode>
                <c:ptCount val="12"/>
                <c:pt idx="0">
                  <c:v>0.5</c:v>
                </c:pt>
                <c:pt idx="1">
                  <c:v>0.77000000000000024</c:v>
                </c:pt>
                <c:pt idx="2">
                  <c:v>0.8</c:v>
                </c:pt>
                <c:pt idx="3">
                  <c:v>0.88</c:v>
                </c:pt>
                <c:pt idx="4">
                  <c:v>1.9200000000000004</c:v>
                </c:pt>
                <c:pt idx="5">
                  <c:v>2.74</c:v>
                </c:pt>
                <c:pt idx="6">
                  <c:v>2.7800000000000002</c:v>
                </c:pt>
                <c:pt idx="7">
                  <c:v>4.5199999999999996</c:v>
                </c:pt>
                <c:pt idx="8">
                  <c:v>6.3199999999999985</c:v>
                </c:pt>
                <c:pt idx="9">
                  <c:v>1.55</c:v>
                </c:pt>
                <c:pt idx="10">
                  <c:v>1.71</c:v>
                </c:pt>
                <c:pt idx="11">
                  <c:v>10.200000000000001</c:v>
                </c:pt>
              </c:numCache>
            </c:numRef>
          </c:val>
        </c:ser>
        <c:dLbls>
          <c:showVal val="1"/>
        </c:dLbls>
        <c:axId val="62937344"/>
        <c:axId val="63016960"/>
      </c:barChart>
      <c:catAx>
        <c:axId val="62937344"/>
        <c:scaling>
          <c:orientation val="minMax"/>
        </c:scaling>
        <c:axPos val="b"/>
        <c:majorTickMark val="none"/>
        <c:tickLblPos val="nextTo"/>
        <c:crossAx val="63016960"/>
        <c:crosses val="autoZero"/>
        <c:auto val="1"/>
        <c:lblAlgn val="ctr"/>
        <c:lblOffset val="100"/>
      </c:catAx>
      <c:valAx>
        <c:axId val="63016960"/>
        <c:scaling>
          <c:orientation val="minMax"/>
        </c:scaling>
        <c:axPos val="l"/>
        <c:majorGridlines/>
        <c:numFmt formatCode="General" sourceLinked="1"/>
        <c:majorTickMark val="none"/>
        <c:tickLblPos val="nextTo"/>
        <c:crossAx val="6293734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02FD-F91A-48FE-B2F1-C43E7867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8344</Words>
  <Characters>47562</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İşçi Sağlığı ve İş Güvenliği Raporu</vt:lpstr>
    </vt:vector>
  </TitlesOfParts>
  <Company>Emekçi Hakları Çalışma Grubu</Company>
  <LinksUpToDate>false</LinksUpToDate>
  <CharactersWithSpaces>55795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İşçi Sağlığı ve İş Güvenliği Raporu</dc:title>
  <dc:creator>Ertuğrul Bilir</dc:creator>
  <cp:lastModifiedBy>hp</cp:lastModifiedBy>
  <cp:revision>6</cp:revision>
  <cp:lastPrinted>2018-12-13T01:50:00Z</cp:lastPrinted>
  <dcterms:created xsi:type="dcterms:W3CDTF">2019-01-26T12:37:00Z</dcterms:created>
  <dcterms:modified xsi:type="dcterms:W3CDTF">2019-01-30T13:49:00Z</dcterms:modified>
</cp:coreProperties>
</file>